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E" w:rsidRDefault="00A165BE" w:rsidP="00DD0CC2">
      <w:pPr>
        <w:jc w:val="center"/>
        <w:rPr>
          <w:b/>
          <w:sz w:val="30"/>
          <w:szCs w:val="30"/>
        </w:rPr>
      </w:pPr>
      <w:r w:rsidRPr="00A165BE">
        <w:rPr>
          <w:b/>
          <w:sz w:val="30"/>
          <w:szCs w:val="30"/>
        </w:rPr>
        <w:t xml:space="preserve">SYNTHESE DES RESSOURCES </w:t>
      </w:r>
      <w:r w:rsidR="0030613D">
        <w:rPr>
          <w:b/>
          <w:sz w:val="30"/>
          <w:szCs w:val="30"/>
        </w:rPr>
        <w:t>SEMINAIRE IBM 2016</w:t>
      </w:r>
    </w:p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342"/>
        <w:gridCol w:w="202"/>
        <w:gridCol w:w="4253"/>
        <w:gridCol w:w="3685"/>
        <w:gridCol w:w="3119"/>
      </w:tblGrid>
      <w:tr w:rsidR="003343C3" w:rsidRPr="00DD0CC2" w:rsidTr="00F20097">
        <w:tc>
          <w:tcPr>
            <w:tcW w:w="3544" w:type="dxa"/>
            <w:gridSpan w:val="2"/>
            <w:shd w:val="clear" w:color="auto" w:fill="DBE5F1" w:themeFill="accent1" w:themeFillTint="33"/>
            <w:vAlign w:val="center"/>
          </w:tcPr>
          <w:p w:rsidR="003343C3" w:rsidRPr="00DD0CC2" w:rsidRDefault="007C38D3" w:rsidP="007C38D3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3343C3" w:rsidRPr="00DD0CC2" w:rsidRDefault="003343C3" w:rsidP="007C38D3">
            <w:pPr>
              <w:jc w:val="center"/>
              <w:rPr>
                <w:b/>
              </w:rPr>
            </w:pPr>
            <w:r w:rsidRPr="00DD0CC2">
              <w:rPr>
                <w:b/>
              </w:rPr>
              <w:t>RESUME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3343C3" w:rsidRPr="00DD0CC2" w:rsidRDefault="00F67036" w:rsidP="007C38D3">
            <w:pPr>
              <w:jc w:val="center"/>
              <w:rPr>
                <w:b/>
              </w:rPr>
            </w:pPr>
            <w:r>
              <w:rPr>
                <w:b/>
              </w:rPr>
              <w:t>INTERET PEDAGOGIQUE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343C3" w:rsidRPr="00DD0CC2" w:rsidRDefault="003343C3" w:rsidP="007C38D3">
            <w:pPr>
              <w:jc w:val="center"/>
              <w:rPr>
                <w:b/>
              </w:rPr>
            </w:pPr>
            <w:r w:rsidRPr="00DD0CC2">
              <w:rPr>
                <w:b/>
              </w:rPr>
              <w:t>CORRESPONDANCE EVENEMENT IBM</w:t>
            </w:r>
          </w:p>
        </w:tc>
      </w:tr>
      <w:tr w:rsidR="003343C3" w:rsidTr="00F20097">
        <w:tc>
          <w:tcPr>
            <w:tcW w:w="3544" w:type="dxa"/>
            <w:gridSpan w:val="2"/>
          </w:tcPr>
          <w:p w:rsidR="003343C3" w:rsidRPr="004028C5" w:rsidRDefault="003343C3" w:rsidP="00071F51">
            <w:r>
              <w:t>BIG DATA</w:t>
            </w:r>
            <w:r w:rsidRPr="004028C5">
              <w:t xml:space="preserve"> et Data marketing : opportunités et limites</w:t>
            </w:r>
          </w:p>
          <w:p w:rsidR="003343C3" w:rsidRDefault="003343C3">
            <w:r>
              <w:t>Art</w:t>
            </w:r>
            <w:r w:rsidR="00B504FD">
              <w:t xml:space="preserve">icle de Catherine </w:t>
            </w:r>
            <w:proofErr w:type="spellStart"/>
            <w:r w:rsidR="00B504FD">
              <w:t>Guillien</w:t>
            </w:r>
            <w:proofErr w:type="spellEnd"/>
            <w:r w:rsidR="00B504FD">
              <w:t xml:space="preserve"> mis en ligne sur le</w:t>
            </w:r>
            <w:r>
              <w:t xml:space="preserve"> CREG </w:t>
            </w:r>
            <w:proofErr w:type="spellStart"/>
            <w:r>
              <w:t>Oct</w:t>
            </w:r>
            <w:proofErr w:type="spellEnd"/>
            <w:r>
              <w:t xml:space="preserve"> 2015</w:t>
            </w:r>
          </w:p>
          <w:p w:rsidR="00FD1210" w:rsidRDefault="001B5297">
            <w:hyperlink r:id="rId9" w:history="1">
              <w:r w:rsidR="00FD1210" w:rsidRPr="002442E5">
                <w:rPr>
                  <w:rStyle w:val="Lienhypertexte"/>
                </w:rPr>
                <w:t>http://www.creg.ac-versailles.fr/spip.php?article887</w:t>
              </w:r>
            </w:hyperlink>
            <w:r w:rsidR="00FD1210">
              <w:t xml:space="preserve"> </w:t>
            </w:r>
          </w:p>
          <w:p w:rsidR="00745AE1" w:rsidRDefault="00745AE1">
            <w:r>
              <w:rPr>
                <w:noProof/>
                <w:lang w:eastAsia="fr-FR"/>
              </w:rPr>
              <w:drawing>
                <wp:inline distT="0" distB="0" distL="0" distR="0" wp14:anchorId="13B9B3A8" wp14:editId="562DFBD0">
                  <wp:extent cx="1779210" cy="368135"/>
                  <wp:effectExtent l="0" t="0" r="0" b="0"/>
                  <wp:docPr id="2" name="Image 2" descr="http://www.creg.ac-versailles.fr/local/cache-vignettes/L359xH74/siteon0-e5814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eg.ac-versailles.fr/local/cache-vignettes/L359xH74/siteon0-e5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58" cy="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343C3" w:rsidRDefault="00426240" w:rsidP="00071F51">
            <w:r>
              <w:t>Le d</w:t>
            </w:r>
            <w:r w:rsidR="003343C3">
              <w:t xml:space="preserve">éluge de données entraîne une stratégie d’utilisation des données avec des impacts sur les fonctions de l’entreprise et des contraintes (juridiques, RH et d’organisation)  </w:t>
            </w:r>
          </w:p>
        </w:tc>
        <w:tc>
          <w:tcPr>
            <w:tcW w:w="3685" w:type="dxa"/>
          </w:tcPr>
          <w:p w:rsidR="003343C3" w:rsidRPr="00121E5B" w:rsidRDefault="00952AD3" w:rsidP="00071F51">
            <w:pPr>
              <w:rPr>
                <w:rStyle w:val="lev"/>
              </w:rPr>
            </w:pPr>
            <w:r>
              <w:rPr>
                <w:rStyle w:val="lev"/>
              </w:rPr>
              <w:t>Cerner les i</w:t>
            </w:r>
            <w:r w:rsidR="00426240" w:rsidRPr="00121E5B">
              <w:rPr>
                <w:rStyle w:val="lev"/>
              </w:rPr>
              <w:t>mpact</w:t>
            </w:r>
            <w:r>
              <w:rPr>
                <w:rStyle w:val="lev"/>
              </w:rPr>
              <w:t>s</w:t>
            </w:r>
            <w:r w:rsidR="00426240" w:rsidRPr="00121E5B">
              <w:rPr>
                <w:rStyle w:val="lev"/>
              </w:rPr>
              <w:t xml:space="preserve"> sur le marketing et la relation client</w:t>
            </w:r>
          </w:p>
        </w:tc>
        <w:tc>
          <w:tcPr>
            <w:tcW w:w="3119" w:type="dxa"/>
          </w:tcPr>
          <w:p w:rsidR="003343C3" w:rsidRPr="00DB75A8" w:rsidRDefault="003343C3" w:rsidP="00071F51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</w:p>
          <w:p w:rsidR="003343C3" w:rsidRDefault="003343C3"/>
        </w:tc>
      </w:tr>
      <w:tr w:rsidR="003343C3" w:rsidTr="00F20097">
        <w:tc>
          <w:tcPr>
            <w:tcW w:w="3544" w:type="dxa"/>
            <w:gridSpan w:val="2"/>
          </w:tcPr>
          <w:p w:rsidR="003343C3" w:rsidRDefault="003343C3">
            <w:r>
              <w:t xml:space="preserve">Rapport </w:t>
            </w:r>
            <w:proofErr w:type="spellStart"/>
            <w:r>
              <w:t>Mettling</w:t>
            </w:r>
            <w:proofErr w:type="spellEnd"/>
            <w:r>
              <w:t xml:space="preserve"> Septembre 2015</w:t>
            </w:r>
          </w:p>
          <w:p w:rsidR="003343C3" w:rsidRDefault="001B5297">
            <w:hyperlink r:id="rId11" w:history="1">
              <w:r w:rsidR="003343C3" w:rsidRPr="009043B5">
                <w:rPr>
                  <w:rStyle w:val="Lienhypertexte"/>
                </w:rPr>
                <w:t>http://travail-emploi.gouv.fr/IMG/pdf/Rapport_Mettling_-Transformation_numerique_vie_au_travail.pdf</w:t>
              </w:r>
            </w:hyperlink>
          </w:p>
        </w:tc>
        <w:tc>
          <w:tcPr>
            <w:tcW w:w="4253" w:type="dxa"/>
          </w:tcPr>
          <w:p w:rsidR="003343C3" w:rsidRDefault="003343C3" w:rsidP="00953DCA">
            <w:r>
              <w:t>Transformation numérique et vie au travail</w:t>
            </w:r>
            <w:r w:rsidR="00F67036">
              <w:t xml:space="preserve"> dans un contexte de surcharge informationnelle</w:t>
            </w:r>
          </w:p>
          <w:p w:rsidR="003343C3" w:rsidRDefault="003343C3" w:rsidP="003343C3">
            <w:pPr>
              <w:rPr>
                <w:rFonts w:ascii="Arial" w:hAnsi="Arial" w:cs="Arial"/>
                <w:sz w:val="20"/>
                <w:szCs w:val="20"/>
              </w:rPr>
            </w:pPr>
            <w:r w:rsidRPr="003343C3">
              <w:rPr>
                <w:rFonts w:ascii="Arial" w:hAnsi="Arial" w:cs="Arial"/>
                <w:sz w:val="20"/>
                <w:szCs w:val="20"/>
                <w:u w:val="single"/>
              </w:rPr>
              <w:t>1°</w:t>
            </w:r>
            <w:proofErr w:type="gramStart"/>
            <w:r w:rsidRPr="003343C3">
              <w:rPr>
                <w:rFonts w:ascii="Arial" w:hAnsi="Arial" w:cs="Arial"/>
                <w:sz w:val="20"/>
                <w:szCs w:val="20"/>
                <w:u w:val="single"/>
              </w:rPr>
              <w:t>partie</w:t>
            </w:r>
            <w:r w:rsidR="00B504FD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B504FD">
              <w:rPr>
                <w:rFonts w:ascii="Arial" w:hAnsi="Arial" w:cs="Arial"/>
                <w:sz w:val="20"/>
                <w:szCs w:val="20"/>
              </w:rPr>
              <w:t xml:space="preserve"> 'identification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4FD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principaux impacts du numérique sur le travail (outils, métiers et compétences, environnement de travail des cadres, organisation, modèle managérial) + </w:t>
            </w:r>
            <w:r w:rsidR="00B504FD">
              <w:rPr>
                <w:rFonts w:ascii="Arial" w:hAnsi="Arial" w:cs="Arial"/>
                <w:sz w:val="20"/>
                <w:szCs w:val="20"/>
              </w:rPr>
              <w:t xml:space="preserve">exposé </w:t>
            </w:r>
            <w:r>
              <w:rPr>
                <w:rFonts w:ascii="Arial" w:hAnsi="Arial" w:cs="Arial"/>
                <w:sz w:val="20"/>
                <w:szCs w:val="20"/>
              </w:rPr>
              <w:t xml:space="preserve">des points clés permettant de favoriser la réussite de la transformation numérique. </w:t>
            </w:r>
          </w:p>
          <w:p w:rsidR="003343C3" w:rsidRDefault="003343C3" w:rsidP="003343C3">
            <w:pPr>
              <w:rPr>
                <w:rFonts w:ascii="Arial" w:hAnsi="Arial" w:cs="Arial"/>
                <w:sz w:val="20"/>
                <w:szCs w:val="20"/>
              </w:rPr>
            </w:pPr>
            <w:r w:rsidRPr="003343C3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3343C3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3343C3">
              <w:rPr>
                <w:rFonts w:ascii="Arial" w:hAnsi="Arial" w:cs="Arial"/>
                <w:sz w:val="20"/>
                <w:szCs w:val="20"/>
                <w:u w:val="single"/>
              </w:rPr>
              <w:t xml:space="preserve">  partie</w:t>
            </w:r>
            <w:r>
              <w:rPr>
                <w:rFonts w:ascii="Arial" w:hAnsi="Arial" w:cs="Arial"/>
                <w:sz w:val="20"/>
                <w:szCs w:val="20"/>
              </w:rPr>
              <w:t> : expos</w:t>
            </w:r>
            <w:r w:rsidR="00B504FD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4FD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conséquences de cette transformation, en particulier sur les éléments constitutifs du </w:t>
            </w:r>
            <w:r>
              <w:rPr>
                <w:rStyle w:val="lev"/>
                <w:rFonts w:ascii="Arial" w:hAnsi="Arial" w:cs="Arial"/>
                <w:sz w:val="20"/>
                <w:szCs w:val="20"/>
              </w:rPr>
              <w:t>contrat de travail</w:t>
            </w:r>
            <w:r>
              <w:rPr>
                <w:rFonts w:ascii="Arial" w:hAnsi="Arial" w:cs="Arial"/>
                <w:sz w:val="20"/>
                <w:szCs w:val="20"/>
              </w:rPr>
              <w:t xml:space="preserve">, sur la </w:t>
            </w:r>
            <w:r>
              <w:rPr>
                <w:rStyle w:val="lev"/>
                <w:rFonts w:ascii="Arial" w:hAnsi="Arial" w:cs="Arial"/>
                <w:sz w:val="20"/>
                <w:szCs w:val="20"/>
              </w:rPr>
              <w:t>qualité de vie au travail</w:t>
            </w:r>
            <w:r>
              <w:rPr>
                <w:rFonts w:ascii="Arial" w:hAnsi="Arial" w:cs="Arial"/>
                <w:sz w:val="20"/>
                <w:szCs w:val="20"/>
              </w:rPr>
              <w:t xml:space="preserve"> sans oublier la </w:t>
            </w:r>
            <w:r>
              <w:rPr>
                <w:rStyle w:val="lev"/>
                <w:rFonts w:ascii="Arial" w:hAnsi="Arial" w:cs="Arial"/>
                <w:sz w:val="20"/>
                <w:szCs w:val="20"/>
              </w:rPr>
              <w:t>fonction managériale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343C3" w:rsidRDefault="003343C3" w:rsidP="00B504FD">
            <w:r w:rsidRPr="003343C3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3343C3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3343C3">
              <w:rPr>
                <w:rFonts w:ascii="Arial" w:hAnsi="Arial" w:cs="Arial"/>
                <w:sz w:val="20"/>
                <w:szCs w:val="20"/>
                <w:u w:val="single"/>
              </w:rPr>
              <w:t xml:space="preserve">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exposé </w:t>
            </w:r>
            <w:r w:rsidR="00B504F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36 préconisations pour la réussite de la transformation numérique au sein des entreprises</w:t>
            </w:r>
          </w:p>
        </w:tc>
        <w:tc>
          <w:tcPr>
            <w:tcW w:w="3685" w:type="dxa"/>
          </w:tcPr>
          <w:p w:rsidR="00FD1210" w:rsidRDefault="00FD1210" w:rsidP="00F6703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Préconisation du rapport :</w:t>
            </w:r>
          </w:p>
          <w:p w:rsidR="00FD1210" w:rsidRDefault="00F67036" w:rsidP="00F6703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D1210">
              <w:rPr>
                <w:rFonts w:ascii="Arial" w:hAnsi="Arial" w:cs="Arial"/>
                <w:b/>
                <w:sz w:val="20"/>
                <w:szCs w:val="20"/>
              </w:rPr>
              <w:t>Mobiliser</w:t>
            </w:r>
            <w:r>
              <w:rPr>
                <w:rFonts w:ascii="Arial" w:hAnsi="Arial" w:cs="Arial"/>
                <w:sz w:val="20"/>
                <w:szCs w:val="20"/>
              </w:rPr>
              <w:t xml:space="preserve"> les moyens de la formation afin d’accompagner la transition nu</w:t>
            </w:r>
            <w:r w:rsidR="00FD1210">
              <w:rPr>
                <w:rFonts w:ascii="Arial" w:hAnsi="Arial" w:cs="Arial"/>
                <w:sz w:val="20"/>
                <w:szCs w:val="20"/>
              </w:rPr>
              <w:t>mérique au sein de l'entreprise.</w:t>
            </w:r>
          </w:p>
          <w:p w:rsidR="00F67036" w:rsidRDefault="00FD1210" w:rsidP="00F67036">
            <w:pPr>
              <w:pStyle w:val="NormalWeb"/>
              <w:rPr>
                <w:rStyle w:val="Accentuation"/>
                <w:rFonts w:ascii="Arial" w:hAnsi="Arial" w:cs="Arial"/>
                <w:sz w:val="20"/>
                <w:szCs w:val="20"/>
              </w:rPr>
            </w:pPr>
            <w:r w:rsidRPr="00FD1210">
              <w:rPr>
                <w:rFonts w:ascii="Arial" w:hAnsi="Arial" w:cs="Arial"/>
                <w:b/>
                <w:sz w:val="20"/>
                <w:szCs w:val="20"/>
              </w:rPr>
              <w:t>Intégrer</w:t>
            </w:r>
            <w:r w:rsidR="00F67036">
              <w:rPr>
                <w:rFonts w:ascii="Arial" w:hAnsi="Arial" w:cs="Arial"/>
                <w:sz w:val="20"/>
                <w:szCs w:val="20"/>
              </w:rPr>
              <w:t xml:space="preserve"> le numérique parmi les savoirs fondamentaux. Selon le rapport, </w:t>
            </w:r>
            <w:r w:rsidR="00F67036">
              <w:rPr>
                <w:rStyle w:val="Accentuation"/>
                <w:rFonts w:ascii="Arial" w:hAnsi="Arial" w:cs="Arial"/>
                <w:sz w:val="20"/>
                <w:szCs w:val="20"/>
              </w:rPr>
              <w:t xml:space="preserve">« L’éducation à l’informatique, ainsi que la </w:t>
            </w:r>
            <w:proofErr w:type="spellStart"/>
            <w:r w:rsidR="00F67036">
              <w:rPr>
                <w:rStyle w:val="Accentuation"/>
                <w:rFonts w:ascii="Arial" w:hAnsi="Arial" w:cs="Arial"/>
                <w:sz w:val="20"/>
                <w:szCs w:val="20"/>
              </w:rPr>
              <w:t>littératie</w:t>
            </w:r>
            <w:proofErr w:type="spellEnd"/>
            <w:r w:rsidR="00F67036">
              <w:rPr>
                <w:rStyle w:val="Accentuation"/>
                <w:rFonts w:ascii="Arial" w:hAnsi="Arial" w:cs="Arial"/>
                <w:sz w:val="20"/>
                <w:szCs w:val="20"/>
              </w:rPr>
              <w:t xml:space="preserve"> numérique, constituent une condition pour que les élèves et étudiants disposent des clés pour comprendre le monde  numérique de demain, pour se préparer à des évolutions professionnelles permanentes ». </w:t>
            </w:r>
          </w:p>
          <w:p w:rsidR="003343C3" w:rsidRPr="00FD1210" w:rsidRDefault="00F67036" w:rsidP="00FD121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rapport relève en outre que </w:t>
            </w:r>
            <w:r>
              <w:rPr>
                <w:rStyle w:val="Accentuation"/>
                <w:rFonts w:ascii="Arial" w:hAnsi="Arial" w:cs="Arial"/>
                <w:sz w:val="20"/>
                <w:szCs w:val="20"/>
              </w:rPr>
              <w:t xml:space="preserve">« La </w:t>
            </w:r>
            <w:proofErr w:type="spellStart"/>
            <w:r>
              <w:rPr>
                <w:rStyle w:val="Accentuation"/>
                <w:rFonts w:ascii="Arial" w:hAnsi="Arial" w:cs="Arial"/>
                <w:sz w:val="20"/>
                <w:szCs w:val="20"/>
              </w:rPr>
              <w:t>littératie</w:t>
            </w:r>
            <w:proofErr w:type="spellEnd"/>
            <w:r>
              <w:rPr>
                <w:rStyle w:val="Accentuation"/>
                <w:rFonts w:ascii="Arial" w:hAnsi="Arial" w:cs="Arial"/>
                <w:sz w:val="20"/>
                <w:szCs w:val="20"/>
              </w:rPr>
              <w:t xml:space="preserve"> numérique englobe,  au-delà de l’informatique, un bouquet de compétences permettant à l’individu de passer d’une posture passive de consommation d’informations à une posture active, contributive. </w:t>
            </w:r>
          </w:p>
        </w:tc>
        <w:tc>
          <w:tcPr>
            <w:tcW w:w="3119" w:type="dxa"/>
          </w:tcPr>
          <w:p w:rsidR="00D755DA" w:rsidRDefault="00D755DA" w:rsidP="00D755DA">
            <w:pPr>
              <w:rPr>
                <w:b/>
              </w:rPr>
            </w:pPr>
            <w:r>
              <w:rPr>
                <w:b/>
              </w:rPr>
              <w:t xml:space="preserve">Pôle 3 : </w:t>
            </w:r>
            <w:r w:rsidRPr="00D755DA">
              <w:rPr>
                <w:rStyle w:val="lev"/>
              </w:rPr>
              <w:t>Le rôle</w:t>
            </w:r>
            <w:r>
              <w:rPr>
                <w:rStyle w:val="lev"/>
              </w:rPr>
              <w:t xml:space="preserve"> formateur de l’école à la société numérique</w:t>
            </w:r>
          </w:p>
          <w:p w:rsidR="00D755DA" w:rsidRDefault="00D755DA" w:rsidP="00D755DA">
            <w:pPr>
              <w:rPr>
                <w:b/>
              </w:rPr>
            </w:pPr>
          </w:p>
          <w:p w:rsidR="003343C3" w:rsidRPr="00ED6C65" w:rsidRDefault="003343C3" w:rsidP="00D755DA">
            <w:pPr>
              <w:rPr>
                <w:b/>
              </w:rPr>
            </w:pPr>
            <w:r w:rsidRPr="00ED6C65">
              <w:rPr>
                <w:b/>
              </w:rPr>
              <w:t xml:space="preserve">Conférences </w:t>
            </w:r>
          </w:p>
        </w:tc>
      </w:tr>
      <w:tr w:rsidR="003343C3" w:rsidTr="00F20097">
        <w:tc>
          <w:tcPr>
            <w:tcW w:w="3544" w:type="dxa"/>
            <w:gridSpan w:val="2"/>
          </w:tcPr>
          <w:p w:rsidR="003343C3" w:rsidRDefault="003343C3">
            <w:r>
              <w:lastRenderedPageBreak/>
              <w:t>Au secours la génération Z débarque</w:t>
            </w:r>
          </w:p>
          <w:p w:rsidR="003343C3" w:rsidRDefault="003343C3">
            <w:r>
              <w:t>Entreprise et Carrières Du 23 au 29 juin 2015</w:t>
            </w:r>
          </w:p>
        </w:tc>
        <w:tc>
          <w:tcPr>
            <w:tcW w:w="4253" w:type="dxa"/>
          </w:tcPr>
          <w:p w:rsidR="003343C3" w:rsidRDefault="003343C3" w:rsidP="00953DCA">
            <w:r>
              <w:t xml:space="preserve">Décryptage de la génération </w:t>
            </w:r>
            <w:proofErr w:type="spellStart"/>
            <w:r>
              <w:t>Zqui</w:t>
            </w:r>
            <w:proofErr w:type="spellEnd"/>
            <w:r>
              <w:t xml:space="preserve"> a le numérique codé dans l’ADN =&gt; Ct les managers vont devoir se po</w:t>
            </w:r>
            <w:r w:rsidR="00121E5B">
              <w:t>sitionner (</w:t>
            </w:r>
            <w:r w:rsidR="00D755DA">
              <w:t>à côté d’eux plutôt qu’</w:t>
            </w:r>
            <w:r>
              <w:t xml:space="preserve"> au-dessus d’eux)</w:t>
            </w:r>
          </w:p>
        </w:tc>
        <w:tc>
          <w:tcPr>
            <w:tcW w:w="3685" w:type="dxa"/>
          </w:tcPr>
          <w:p w:rsidR="00952AD3" w:rsidRDefault="00952AD3">
            <w:pPr>
              <w:rPr>
                <w:b/>
              </w:rPr>
            </w:pPr>
            <w:r>
              <w:rPr>
                <w:b/>
              </w:rPr>
              <w:t>Connaître les caractéristiques de cette génération ;</w:t>
            </w:r>
          </w:p>
          <w:p w:rsidR="00121E5B" w:rsidRDefault="00952AD3" w:rsidP="00D755DA">
            <w:r>
              <w:rPr>
                <w:b/>
              </w:rPr>
              <w:t>Réfléchir à l</w:t>
            </w:r>
            <w:r w:rsidR="00AF18C4">
              <w:rPr>
                <w:b/>
              </w:rPr>
              <w:t>a gestion des</w:t>
            </w:r>
            <w:r w:rsidR="00121E5B" w:rsidRPr="00121E5B">
              <w:rPr>
                <w:b/>
              </w:rPr>
              <w:t xml:space="preserve"> </w:t>
            </w:r>
            <w:r w:rsidR="00D755DA">
              <w:rPr>
                <w:b/>
              </w:rPr>
              <w:t>r</w:t>
            </w:r>
            <w:r w:rsidR="00121E5B" w:rsidRPr="00121E5B">
              <w:rPr>
                <w:b/>
              </w:rPr>
              <w:t>essources humaines</w:t>
            </w:r>
            <w:r>
              <w:rPr>
                <w:b/>
              </w:rPr>
              <w:t xml:space="preserve"> au sein des organisations</w:t>
            </w:r>
            <w:r>
              <w:t xml:space="preserve"> en termes de m</w:t>
            </w:r>
            <w:r w:rsidR="00121E5B">
              <w:t>obilisation, motivation, compétences…</w:t>
            </w:r>
          </w:p>
        </w:tc>
        <w:tc>
          <w:tcPr>
            <w:tcW w:w="3119" w:type="dxa"/>
          </w:tcPr>
          <w:p w:rsidR="003343C3" w:rsidRDefault="003343C3" w:rsidP="00D755DA">
            <w:r w:rsidRPr="00D755DA">
              <w:rPr>
                <w:b/>
              </w:rPr>
              <w:t>Pôle 3</w:t>
            </w:r>
            <w:r w:rsidR="00D755DA">
              <w:rPr>
                <w:b/>
              </w:rPr>
              <w:t xml:space="preserve"> : </w:t>
            </w:r>
            <w:r w:rsidR="00D755DA" w:rsidRPr="00D755DA">
              <w:rPr>
                <w:rStyle w:val="lev"/>
              </w:rPr>
              <w:t>Le rôle</w:t>
            </w:r>
            <w:r w:rsidR="00D755DA">
              <w:rPr>
                <w:rStyle w:val="lev"/>
              </w:rPr>
              <w:t xml:space="preserve"> formateur de l’école à la société numérique </w:t>
            </w:r>
          </w:p>
        </w:tc>
      </w:tr>
      <w:tr w:rsidR="003343C3" w:rsidTr="00F20097">
        <w:tc>
          <w:tcPr>
            <w:tcW w:w="3544" w:type="dxa"/>
            <w:gridSpan w:val="2"/>
          </w:tcPr>
          <w:p w:rsidR="00A863E1" w:rsidRDefault="003343C3" w:rsidP="00AE753A">
            <w:r>
              <w:t>Randstad s’appuie désormais sur le BIG DATA</w:t>
            </w:r>
          </w:p>
          <w:p w:rsidR="003343C3" w:rsidRDefault="003343C3" w:rsidP="00AE753A">
            <w:r>
              <w:t>Entreprise et Carrières Du 22 au 28 septembre 2015</w:t>
            </w:r>
          </w:p>
        </w:tc>
        <w:tc>
          <w:tcPr>
            <w:tcW w:w="4253" w:type="dxa"/>
          </w:tcPr>
          <w:p w:rsidR="003343C3" w:rsidRDefault="003343C3" w:rsidP="00AE753A">
            <w:r>
              <w:t>Le spécialiste du recrutement s’est doté d’une solution d’aide à la décision fondée sur une analyse des compétences et non des postes en lien avec les territoires</w:t>
            </w:r>
            <w:r w:rsidR="00AF18C4">
              <w:t>.</w:t>
            </w:r>
          </w:p>
        </w:tc>
        <w:tc>
          <w:tcPr>
            <w:tcW w:w="3685" w:type="dxa"/>
          </w:tcPr>
          <w:p w:rsidR="003343C3" w:rsidRPr="00AF18C4" w:rsidRDefault="00E12354" w:rsidP="004D4B46">
            <w:pPr>
              <w:rPr>
                <w:rStyle w:val="lev"/>
                <w:b w:val="0"/>
              </w:rPr>
            </w:pPr>
            <w:r>
              <w:rPr>
                <w:b/>
              </w:rPr>
              <w:t xml:space="preserve">Illustration de l’utilisation </w:t>
            </w:r>
            <w:r w:rsidR="004D4B46">
              <w:rPr>
                <w:b/>
              </w:rPr>
              <w:t xml:space="preserve">du </w:t>
            </w:r>
            <w:proofErr w:type="spellStart"/>
            <w:r w:rsidR="004D4B46">
              <w:rPr>
                <w:b/>
              </w:rPr>
              <w:t>Big</w:t>
            </w:r>
            <w:proofErr w:type="spellEnd"/>
            <w:r w:rsidR="004D4B46">
              <w:rPr>
                <w:b/>
              </w:rPr>
              <w:t xml:space="preserve"> Data</w:t>
            </w:r>
            <w:r>
              <w:rPr>
                <w:b/>
              </w:rPr>
              <w:t xml:space="preserve"> </w:t>
            </w:r>
            <w:r w:rsidR="00952AD3">
              <w:rPr>
                <w:b/>
              </w:rPr>
              <w:t>sur l</w:t>
            </w:r>
            <w:r w:rsidR="00AF18C4">
              <w:rPr>
                <w:b/>
              </w:rPr>
              <w:t>a gestion des</w:t>
            </w:r>
            <w:r w:rsidR="00AF18C4" w:rsidRPr="00121E5B">
              <w:rPr>
                <w:b/>
              </w:rPr>
              <w:t xml:space="preserve"> Ressources humaines </w:t>
            </w:r>
            <w:r w:rsidR="00952AD3">
              <w:t xml:space="preserve">en termes de </w:t>
            </w:r>
            <w:r w:rsidR="00952AD3">
              <w:rPr>
                <w:rStyle w:val="lev"/>
                <w:b w:val="0"/>
              </w:rPr>
              <w:t>m</w:t>
            </w:r>
            <w:r w:rsidR="00AF18C4" w:rsidRPr="00AF18C4">
              <w:rPr>
                <w:rStyle w:val="lev"/>
                <w:b w:val="0"/>
              </w:rPr>
              <w:t>obilité, compétences</w:t>
            </w:r>
          </w:p>
        </w:tc>
        <w:tc>
          <w:tcPr>
            <w:tcW w:w="3119" w:type="dxa"/>
          </w:tcPr>
          <w:p w:rsidR="003343C3" w:rsidRPr="00DB75A8" w:rsidRDefault="003343C3" w:rsidP="00AE753A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</w:p>
          <w:p w:rsidR="00D755DA" w:rsidRDefault="00D755DA">
            <w:pPr>
              <w:rPr>
                <w:b/>
              </w:rPr>
            </w:pPr>
          </w:p>
          <w:p w:rsidR="003343C3" w:rsidRPr="00D755DA" w:rsidRDefault="00D755DA">
            <w:pPr>
              <w:rPr>
                <w:b/>
              </w:rPr>
            </w:pPr>
            <w:r w:rsidRPr="00D755DA">
              <w:rPr>
                <w:b/>
              </w:rPr>
              <w:t xml:space="preserve">Conférences </w:t>
            </w:r>
          </w:p>
        </w:tc>
      </w:tr>
      <w:tr w:rsidR="003343C3" w:rsidTr="00F20097">
        <w:tc>
          <w:tcPr>
            <w:tcW w:w="3544" w:type="dxa"/>
            <w:gridSpan w:val="2"/>
          </w:tcPr>
          <w:p w:rsidR="003343C3" w:rsidRDefault="003343C3" w:rsidP="00AE753A">
            <w:r>
              <w:t>Dossier e-santé</w:t>
            </w:r>
          </w:p>
          <w:p w:rsidR="003343C3" w:rsidRDefault="003343C3" w:rsidP="00AE753A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Le BIG DATA médical prolifère</w:t>
            </w:r>
          </w:p>
          <w:p w:rsidR="003343C3" w:rsidRDefault="003343C3" w:rsidP="005948B3">
            <w:pPr>
              <w:pStyle w:val="Paragraphedeliste"/>
              <w:ind w:left="426"/>
            </w:pPr>
          </w:p>
          <w:p w:rsidR="003343C3" w:rsidRDefault="003343C3" w:rsidP="00AE753A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>Des SI de santé très affectés</w:t>
            </w:r>
          </w:p>
          <w:p w:rsidR="003343C3" w:rsidRDefault="003343C3" w:rsidP="005948B3">
            <w:pPr>
              <w:pStyle w:val="Paragraphedeliste"/>
            </w:pPr>
          </w:p>
          <w:p w:rsidR="003343C3" w:rsidRDefault="003343C3" w:rsidP="005948B3">
            <w:pPr>
              <w:pStyle w:val="Paragraphedeliste"/>
              <w:numPr>
                <w:ilvl w:val="0"/>
                <w:numId w:val="2"/>
              </w:numPr>
              <w:ind w:left="426"/>
            </w:pPr>
            <w:r>
              <w:t xml:space="preserve">L’imagerie au cœur de la télémédecine </w:t>
            </w:r>
          </w:p>
          <w:p w:rsidR="003343C3" w:rsidRDefault="003343C3" w:rsidP="003343C3">
            <w:pPr>
              <w:pStyle w:val="Paragraphedeliste"/>
            </w:pPr>
          </w:p>
          <w:p w:rsidR="003343C3" w:rsidRDefault="003343C3" w:rsidP="003343C3">
            <w:r>
              <w:t>IT for business mai 2015</w:t>
            </w:r>
          </w:p>
        </w:tc>
        <w:tc>
          <w:tcPr>
            <w:tcW w:w="4253" w:type="dxa"/>
          </w:tcPr>
          <w:p w:rsidR="003343C3" w:rsidRPr="00127621" w:rsidRDefault="003343C3" w:rsidP="005948B3">
            <w:pPr>
              <w:rPr>
                <w:b/>
              </w:rPr>
            </w:pPr>
            <w:r w:rsidRPr="00127621">
              <w:rPr>
                <w:b/>
              </w:rPr>
              <w:t xml:space="preserve">Le </w:t>
            </w:r>
            <w:proofErr w:type="spellStart"/>
            <w:r w:rsidR="00F20097" w:rsidRPr="00127621">
              <w:rPr>
                <w:b/>
              </w:rPr>
              <w:t>Big</w:t>
            </w:r>
            <w:proofErr w:type="spellEnd"/>
            <w:r w:rsidR="00F20097" w:rsidRPr="00127621">
              <w:rPr>
                <w:b/>
              </w:rPr>
              <w:t xml:space="preserve"> Data </w:t>
            </w:r>
            <w:r w:rsidRPr="00127621">
              <w:rPr>
                <w:b/>
              </w:rPr>
              <w:t>médical prolifère</w:t>
            </w:r>
          </w:p>
          <w:p w:rsidR="003343C3" w:rsidRDefault="003343C3" w:rsidP="00AE753A">
            <w:r>
              <w:t>C</w:t>
            </w:r>
            <w:r w:rsidR="00D755DA">
              <w:t>on</w:t>
            </w:r>
            <w:r>
              <w:t>s</w:t>
            </w:r>
            <w:r w:rsidR="00D755DA">
              <w:t>é</w:t>
            </w:r>
            <w:r>
              <w:t>q</w:t>
            </w:r>
            <w:r w:rsidR="00D755DA">
              <w:t>uence</w:t>
            </w:r>
            <w:r>
              <w:t>s de la numérisation de la santé=&gt; facilite la recherche médicale, entrée sur le marché de nouveaux acteurs, les assureurs…</w:t>
            </w:r>
          </w:p>
          <w:p w:rsidR="003343C3" w:rsidRDefault="003343C3" w:rsidP="00AE753A">
            <w:pPr>
              <w:rPr>
                <w:b/>
              </w:rPr>
            </w:pPr>
            <w:r w:rsidRPr="005948B3">
              <w:rPr>
                <w:b/>
              </w:rPr>
              <w:t>Des SI de santé très affectés</w:t>
            </w:r>
          </w:p>
          <w:p w:rsidR="003343C3" w:rsidRDefault="00D755DA" w:rsidP="00AE753A">
            <w:r>
              <w:t xml:space="preserve">Conséquences </w:t>
            </w:r>
            <w:r w:rsidR="003343C3">
              <w:t>sur les SI des établissements de santé</w:t>
            </w:r>
          </w:p>
          <w:p w:rsidR="003343C3" w:rsidRPr="005948B3" w:rsidRDefault="003343C3" w:rsidP="00AE753A">
            <w:pPr>
              <w:rPr>
                <w:b/>
              </w:rPr>
            </w:pPr>
            <w:r w:rsidRPr="005948B3">
              <w:rPr>
                <w:b/>
              </w:rPr>
              <w:t>L’imagerie au cœur de la télémédecine</w:t>
            </w:r>
            <w:r>
              <w:rPr>
                <w:b/>
              </w:rPr>
              <w:t xml:space="preserve"> (encart sur les créations d’entités dédiées à la santé chez Google, Apple, IBM…)</w:t>
            </w:r>
          </w:p>
        </w:tc>
        <w:tc>
          <w:tcPr>
            <w:tcW w:w="3685" w:type="dxa"/>
          </w:tcPr>
          <w:p w:rsidR="003343C3" w:rsidRPr="00DB75A8" w:rsidRDefault="00E12354" w:rsidP="004D4B46">
            <w:pPr>
              <w:rPr>
                <w:rStyle w:val="lev"/>
              </w:rPr>
            </w:pPr>
            <w:r>
              <w:rPr>
                <w:b/>
              </w:rPr>
              <w:t xml:space="preserve">Illustration de l’utilisation </w:t>
            </w:r>
            <w:r w:rsidR="004D4B46">
              <w:rPr>
                <w:b/>
              </w:rPr>
              <w:t xml:space="preserve">du </w:t>
            </w:r>
            <w:proofErr w:type="spellStart"/>
            <w:r w:rsidR="004D4B46">
              <w:rPr>
                <w:b/>
              </w:rPr>
              <w:t>Big</w:t>
            </w:r>
            <w:proofErr w:type="spellEnd"/>
            <w:r w:rsidR="004D4B46">
              <w:rPr>
                <w:b/>
              </w:rPr>
              <w:t xml:space="preserve"> Data</w:t>
            </w:r>
            <w:r>
              <w:rPr>
                <w:b/>
              </w:rPr>
              <w:t xml:space="preserve"> : </w:t>
            </w:r>
            <w:r w:rsidR="00924134">
              <w:t xml:space="preserve">transformation des </w:t>
            </w:r>
            <w:r w:rsidRPr="00E12354">
              <w:t xml:space="preserve"> données</w:t>
            </w:r>
            <w:r w:rsidR="00924134">
              <w:t xml:space="preserve"> en i</w:t>
            </w:r>
            <w:r w:rsidRPr="00E12354">
              <w:t>nformations</w:t>
            </w:r>
            <w:r w:rsidR="00924134">
              <w:t xml:space="preserve"> utilisables</w:t>
            </w:r>
          </w:p>
        </w:tc>
        <w:tc>
          <w:tcPr>
            <w:tcW w:w="3119" w:type="dxa"/>
          </w:tcPr>
          <w:p w:rsidR="003343C3" w:rsidRPr="00DB75A8" w:rsidRDefault="003343C3" w:rsidP="00AE753A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</w:p>
          <w:p w:rsidR="00D755DA" w:rsidRDefault="00D755DA" w:rsidP="00AE753A">
            <w:pPr>
              <w:rPr>
                <w:b/>
              </w:rPr>
            </w:pPr>
          </w:p>
          <w:p w:rsidR="003343C3" w:rsidRPr="00DB75A8" w:rsidRDefault="00D755DA" w:rsidP="00AE753A">
            <w:pPr>
              <w:rPr>
                <w:rStyle w:val="lev"/>
              </w:rPr>
            </w:pPr>
            <w:r w:rsidRPr="00D755DA">
              <w:rPr>
                <w:b/>
              </w:rPr>
              <w:t>Conférences</w:t>
            </w:r>
          </w:p>
        </w:tc>
      </w:tr>
      <w:tr w:rsidR="003343C3" w:rsidTr="00F20097">
        <w:tc>
          <w:tcPr>
            <w:tcW w:w="3544" w:type="dxa"/>
            <w:gridSpan w:val="2"/>
          </w:tcPr>
          <w:p w:rsidR="003343C3" w:rsidRPr="003F42D2" w:rsidRDefault="003343C3" w:rsidP="003343C3">
            <w:r w:rsidRPr="003F42D2">
              <w:t>Exploiter le potentiel du « </w:t>
            </w:r>
            <w:proofErr w:type="spellStart"/>
            <w:r>
              <w:t>Big</w:t>
            </w:r>
            <w:proofErr w:type="spellEnd"/>
            <w:r>
              <w:t xml:space="preserve"> Data</w:t>
            </w:r>
            <w:r w:rsidRPr="003F42D2">
              <w:t xml:space="preserve"> » L'Expansion Management </w:t>
            </w:r>
            <w:proofErr w:type="spellStart"/>
            <w:r w:rsidRPr="003F42D2">
              <w:t>Review</w:t>
            </w:r>
            <w:proofErr w:type="spellEnd"/>
          </w:p>
          <w:p w:rsidR="003343C3" w:rsidRPr="003F42D2" w:rsidRDefault="003343C3" w:rsidP="003343C3">
            <w:r>
              <w:t>(CAIRN)</w:t>
            </w:r>
            <w:r w:rsidRPr="003F42D2">
              <w:t xml:space="preserve"> 2012/3 N° 146</w:t>
            </w:r>
          </w:p>
          <w:p w:rsidR="003343C3" w:rsidRDefault="001B5297" w:rsidP="003343C3">
            <w:hyperlink r:id="rId12" w:history="1">
              <w:r w:rsidR="00D755DA" w:rsidRPr="0072006B">
                <w:rPr>
                  <w:rStyle w:val="Lienhypertexte"/>
                </w:rPr>
                <w:t>https://www.cairn.info/</w:t>
              </w:r>
            </w:hyperlink>
            <w:r w:rsidR="00D755DA">
              <w:t xml:space="preserve"> </w:t>
            </w:r>
          </w:p>
        </w:tc>
        <w:tc>
          <w:tcPr>
            <w:tcW w:w="4253" w:type="dxa"/>
          </w:tcPr>
          <w:p w:rsidR="003343C3" w:rsidRDefault="003343C3" w:rsidP="005948B3">
            <w:r w:rsidRPr="003F42D2">
              <w:t>Les entreprises sont en train d’apprendre à utiliser l’analyse de données à grande échelle à des fins stratégiques. La diversité de leurs expériences révèle tout le potentiel du « </w:t>
            </w:r>
            <w:proofErr w:type="spellStart"/>
            <w:r>
              <w:t>Big</w:t>
            </w:r>
            <w:proofErr w:type="spellEnd"/>
            <w:r>
              <w:t xml:space="preserve"> Data</w:t>
            </w:r>
            <w:r w:rsidRPr="003F42D2">
              <w:t> ».</w:t>
            </w:r>
          </w:p>
          <w:p w:rsidR="003343C3" w:rsidRDefault="003343C3" w:rsidP="005948B3">
            <w:r>
              <w:t xml:space="preserve">4 </w:t>
            </w:r>
            <w:r w:rsidR="00D755DA">
              <w:t>principes</w:t>
            </w:r>
            <w:r>
              <w:t xml:space="preserve"> ont été dégagés :</w:t>
            </w:r>
          </w:p>
          <w:p w:rsidR="003343C3" w:rsidRPr="00CB0ACB" w:rsidRDefault="003343C3" w:rsidP="003F42D2">
            <w:pPr>
              <w:pStyle w:val="Paragraphedeliste"/>
              <w:numPr>
                <w:ilvl w:val="0"/>
                <w:numId w:val="2"/>
              </w:numPr>
            </w:pPr>
            <w:r w:rsidRPr="00CB0ACB">
              <w:t>Prendre la mesure des opportunités et des menaces</w:t>
            </w:r>
          </w:p>
          <w:p w:rsidR="003343C3" w:rsidRPr="00CB0ACB" w:rsidRDefault="003343C3" w:rsidP="003F42D2">
            <w:pPr>
              <w:pStyle w:val="Paragraphedeliste"/>
              <w:numPr>
                <w:ilvl w:val="0"/>
                <w:numId w:val="2"/>
              </w:numPr>
            </w:pPr>
            <w:r w:rsidRPr="00CB0ACB">
              <w:t>Identifier ressources et manques</w:t>
            </w:r>
          </w:p>
          <w:p w:rsidR="003343C3" w:rsidRPr="00CB0ACB" w:rsidRDefault="003343C3" w:rsidP="003F42D2">
            <w:pPr>
              <w:pStyle w:val="Paragraphedeliste"/>
              <w:numPr>
                <w:ilvl w:val="0"/>
                <w:numId w:val="2"/>
              </w:numPr>
            </w:pPr>
            <w:r w:rsidRPr="00CB0ACB">
              <w:t>S’aligner sur les choix stratégiques</w:t>
            </w:r>
          </w:p>
          <w:p w:rsidR="003343C3" w:rsidRPr="003F42D2" w:rsidRDefault="003343C3" w:rsidP="003F42D2">
            <w:pPr>
              <w:pStyle w:val="Paragraphedeliste"/>
              <w:numPr>
                <w:ilvl w:val="0"/>
                <w:numId w:val="2"/>
              </w:numPr>
            </w:pPr>
            <w:r w:rsidRPr="00CB0ACB">
              <w:lastRenderedPageBreak/>
              <w:t>Comprendre les implications organisationnelles</w:t>
            </w:r>
          </w:p>
        </w:tc>
        <w:tc>
          <w:tcPr>
            <w:tcW w:w="3685" w:type="dxa"/>
          </w:tcPr>
          <w:p w:rsidR="007229A8" w:rsidRDefault="007229A8" w:rsidP="003F42D2">
            <w:pPr>
              <w:rPr>
                <w:rStyle w:val="lev"/>
              </w:rPr>
            </w:pPr>
            <w:r>
              <w:rPr>
                <w:rStyle w:val="lev"/>
              </w:rPr>
              <w:lastRenderedPageBreak/>
              <w:t xml:space="preserve">Analyser </w:t>
            </w:r>
            <w:r w:rsidRPr="007229A8">
              <w:rPr>
                <w:rStyle w:val="lev"/>
                <w:b w:val="0"/>
              </w:rPr>
              <w:t>le nouvel environnement de l’organisation</w:t>
            </w:r>
            <w:r>
              <w:rPr>
                <w:rStyle w:val="lev"/>
              </w:rPr>
              <w:t>,</w:t>
            </w:r>
          </w:p>
          <w:p w:rsidR="007229A8" w:rsidRDefault="007229A8" w:rsidP="007229A8">
            <w:pPr>
              <w:rPr>
                <w:rStyle w:val="lev"/>
              </w:rPr>
            </w:pPr>
            <w:r>
              <w:rPr>
                <w:rStyle w:val="lev"/>
              </w:rPr>
              <w:t xml:space="preserve">Cerner </w:t>
            </w:r>
            <w:r w:rsidRPr="007229A8">
              <w:rPr>
                <w:rStyle w:val="lev"/>
                <w:b w:val="0"/>
              </w:rPr>
              <w:t>les conséquences de la prise en compte de ces données dans la définition de la stratégie</w:t>
            </w:r>
            <w:r>
              <w:rPr>
                <w:rStyle w:val="lev"/>
              </w:rPr>
              <w:t>.</w:t>
            </w:r>
          </w:p>
          <w:p w:rsidR="007229A8" w:rsidRPr="00DB75A8" w:rsidRDefault="007229A8" w:rsidP="007229A8">
            <w:pPr>
              <w:rPr>
                <w:rStyle w:val="lev"/>
              </w:rPr>
            </w:pPr>
            <w:r>
              <w:rPr>
                <w:rStyle w:val="lev"/>
              </w:rPr>
              <w:t xml:space="preserve">Identifier </w:t>
            </w:r>
            <w:r w:rsidRPr="007229A8">
              <w:rPr>
                <w:rStyle w:val="lev"/>
                <w:b w:val="0"/>
              </w:rPr>
              <w:t>l’</w:t>
            </w:r>
            <w:r>
              <w:rPr>
                <w:rStyle w:val="lev"/>
                <w:b w:val="0"/>
              </w:rPr>
              <w:t>avantage concurrentiel lié</w:t>
            </w:r>
            <w:r w:rsidRPr="007229A8">
              <w:rPr>
                <w:rStyle w:val="lev"/>
                <w:b w:val="0"/>
              </w:rPr>
              <w:t xml:space="preserve"> à l’utilisation des données.</w:t>
            </w:r>
          </w:p>
        </w:tc>
        <w:tc>
          <w:tcPr>
            <w:tcW w:w="3119" w:type="dxa"/>
          </w:tcPr>
          <w:p w:rsidR="003343C3" w:rsidRDefault="003343C3" w:rsidP="003F42D2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  <w:r>
              <w:rPr>
                <w:rStyle w:val="lev"/>
              </w:rPr>
              <w:t xml:space="preserve"> (</w:t>
            </w:r>
          </w:p>
          <w:p w:rsidR="00D755DA" w:rsidRDefault="00D755DA" w:rsidP="003F42D2">
            <w:pPr>
              <w:rPr>
                <w:rStyle w:val="lev"/>
              </w:rPr>
            </w:pPr>
          </w:p>
          <w:p w:rsidR="00D755DA" w:rsidRPr="00DB75A8" w:rsidRDefault="00D755DA" w:rsidP="003F42D2">
            <w:pPr>
              <w:rPr>
                <w:rStyle w:val="lev"/>
              </w:rPr>
            </w:pPr>
            <w:r>
              <w:rPr>
                <w:rStyle w:val="lev"/>
              </w:rPr>
              <w:t>Conférences</w:t>
            </w:r>
          </w:p>
          <w:p w:rsidR="003343C3" w:rsidRPr="00DB75A8" w:rsidRDefault="003343C3" w:rsidP="00AE753A">
            <w:pPr>
              <w:rPr>
                <w:rStyle w:val="lev"/>
              </w:rPr>
            </w:pPr>
          </w:p>
        </w:tc>
      </w:tr>
      <w:tr w:rsidR="003343C3" w:rsidTr="00F20097">
        <w:tc>
          <w:tcPr>
            <w:tcW w:w="3544" w:type="dxa"/>
            <w:gridSpan w:val="2"/>
          </w:tcPr>
          <w:p w:rsidR="003343C3" w:rsidRPr="00EB492D" w:rsidRDefault="003343C3" w:rsidP="00EB492D">
            <w:r w:rsidRPr="00EB492D">
              <w:lastRenderedPageBreak/>
              <w:t xml:space="preserve">Le renouvellement des pratiques managériales. La </w:t>
            </w:r>
            <w:proofErr w:type="spellStart"/>
            <w:r w:rsidRPr="00EB492D">
              <w:t>numéritie</w:t>
            </w:r>
            <w:proofErr w:type="spellEnd"/>
            <w:r w:rsidRPr="00EB492D">
              <w:t xml:space="preserve"> : comment le numérique bouleverse l’organisation des entreprises et leur management</w:t>
            </w:r>
          </w:p>
          <w:p w:rsidR="003343C3" w:rsidRPr="00A165BE" w:rsidRDefault="00D755DA" w:rsidP="003343C3">
            <w:r>
              <w:t>Futuribles</w:t>
            </w:r>
          </w:p>
          <w:p w:rsidR="003343C3" w:rsidRPr="003F42D2" w:rsidRDefault="001B5297" w:rsidP="00AE753A">
            <w:hyperlink r:id="rId13" w:history="1">
              <w:r w:rsidR="003343C3" w:rsidRPr="004C2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n° 408, septembre 2015</w:t>
              </w:r>
            </w:hyperlink>
          </w:p>
        </w:tc>
        <w:tc>
          <w:tcPr>
            <w:tcW w:w="4253" w:type="dxa"/>
          </w:tcPr>
          <w:p w:rsidR="003343C3" w:rsidRPr="003F42D2" w:rsidRDefault="003343C3" w:rsidP="00D755DA">
            <w:r w:rsidRPr="00A165BE">
              <w:t xml:space="preserve">François Silva et Arnaud Lacan </w:t>
            </w:r>
            <w:r w:rsidR="00C250C0">
              <w:t xml:space="preserve">montrent comment la </w:t>
            </w:r>
            <w:r w:rsidRPr="00A165BE">
              <w:t>« </w:t>
            </w:r>
            <w:proofErr w:type="spellStart"/>
            <w:r w:rsidRPr="00A165BE">
              <w:t>numéritie</w:t>
            </w:r>
            <w:proofErr w:type="spellEnd"/>
            <w:r w:rsidRPr="00A165BE">
              <w:t xml:space="preserve"> », </w:t>
            </w:r>
            <w:r w:rsidR="0005421C">
              <w:t>ou « </w:t>
            </w:r>
            <w:proofErr w:type="spellStart"/>
            <w:r w:rsidR="0005421C">
              <w:t>littératie</w:t>
            </w:r>
            <w:proofErr w:type="spellEnd"/>
            <w:r w:rsidR="0005421C">
              <w:t xml:space="preserve"> numérique » </w:t>
            </w:r>
            <w:r w:rsidRPr="00A165BE">
              <w:t>(aptitude à comprendre et à utiliser l’information écrite</w:t>
            </w:r>
            <w:r w:rsidR="0005421C">
              <w:t xml:space="preserve"> </w:t>
            </w:r>
            <w:r w:rsidRPr="00A165BE">
              <w:t>appliquée au numérique</w:t>
            </w:r>
            <w:r w:rsidR="0005421C">
              <w:t>)</w:t>
            </w:r>
            <w:r w:rsidR="0005421C" w:rsidRPr="00A165BE">
              <w:t xml:space="preserve"> </w:t>
            </w:r>
            <w:r w:rsidR="00C250C0">
              <w:t>va bouleverser le management des ressources humaines et l’organisation des entreprises.</w:t>
            </w:r>
          </w:p>
        </w:tc>
        <w:tc>
          <w:tcPr>
            <w:tcW w:w="3685" w:type="dxa"/>
          </w:tcPr>
          <w:p w:rsidR="003343C3" w:rsidRPr="0005421C" w:rsidRDefault="0005421C" w:rsidP="00D755DA">
            <w:pPr>
              <w:rPr>
                <w:rStyle w:val="lev"/>
                <w:b w:val="0"/>
              </w:rPr>
            </w:pPr>
            <w:r>
              <w:rPr>
                <w:rStyle w:val="lev"/>
              </w:rPr>
              <w:t xml:space="preserve">Prendre en compte ce comportement pour cerner l’impact sur </w:t>
            </w:r>
            <w:r>
              <w:rPr>
                <w:b/>
              </w:rPr>
              <w:t>la mobilisation, la motivation</w:t>
            </w:r>
            <w:r>
              <w:rPr>
                <w:rStyle w:val="lev"/>
                <w:b w:val="0"/>
              </w:rPr>
              <w:t xml:space="preserve"> des ressources humaines de l’organisation.</w:t>
            </w:r>
          </w:p>
        </w:tc>
        <w:tc>
          <w:tcPr>
            <w:tcW w:w="3119" w:type="dxa"/>
          </w:tcPr>
          <w:p w:rsidR="003343C3" w:rsidRPr="00DB75A8" w:rsidRDefault="003343C3" w:rsidP="00A165BE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  <w:r w:rsidR="00D755DA">
              <w:rPr>
                <w:rStyle w:val="lev"/>
              </w:rPr>
              <w:t>.</w:t>
            </w:r>
          </w:p>
          <w:p w:rsidR="00D755DA" w:rsidRDefault="00D755DA" w:rsidP="00D755DA">
            <w:pPr>
              <w:rPr>
                <w:b/>
              </w:rPr>
            </w:pPr>
          </w:p>
          <w:p w:rsidR="003343C3" w:rsidRPr="00DB75A8" w:rsidRDefault="00D755DA" w:rsidP="00D755DA">
            <w:pPr>
              <w:rPr>
                <w:rStyle w:val="lev"/>
              </w:rPr>
            </w:pPr>
            <w:r w:rsidRPr="00ED6C65">
              <w:rPr>
                <w:b/>
              </w:rPr>
              <w:t>Conférences</w:t>
            </w:r>
          </w:p>
        </w:tc>
      </w:tr>
      <w:tr w:rsidR="003343C3" w:rsidTr="00F20097">
        <w:trPr>
          <w:trHeight w:val="1522"/>
        </w:trPr>
        <w:tc>
          <w:tcPr>
            <w:tcW w:w="3544" w:type="dxa"/>
            <w:gridSpan w:val="2"/>
          </w:tcPr>
          <w:p w:rsidR="003343C3" w:rsidRPr="00D32B5B" w:rsidRDefault="003343C3" w:rsidP="00EB492D">
            <w:r w:rsidRPr="00D32B5B">
              <w:t xml:space="preserve">Rapport 2014-2015 sur le </w:t>
            </w:r>
            <w:proofErr w:type="spellStart"/>
            <w:r w:rsidRPr="00D32B5B">
              <w:t>Big</w:t>
            </w:r>
            <w:proofErr w:type="spellEnd"/>
            <w:r w:rsidRPr="00D32B5B">
              <w:t xml:space="preserve"> Data 2014</w:t>
            </w:r>
          </w:p>
          <w:p w:rsidR="00B504FD" w:rsidRPr="00D32B5B" w:rsidRDefault="001B5297" w:rsidP="00EB492D">
            <w:hyperlink r:id="rId14" w:history="1">
              <w:r w:rsidR="00B504FD" w:rsidRPr="00D32B5B">
                <w:rPr>
                  <w:rStyle w:val="Lienhypertexte"/>
                  <w:color w:val="auto"/>
                </w:rPr>
                <w:t>http://www.bigdataparis.com/guide/BD14-15_Guide_BD_14136_2.pdf</w:t>
              </w:r>
            </w:hyperlink>
            <w:r w:rsidR="00B504FD" w:rsidRPr="00D32B5B">
              <w:t xml:space="preserve"> </w:t>
            </w:r>
          </w:p>
        </w:tc>
        <w:tc>
          <w:tcPr>
            <w:tcW w:w="4253" w:type="dxa"/>
          </w:tcPr>
          <w:p w:rsidR="00C03F18" w:rsidRPr="00D32B5B" w:rsidRDefault="00C03F18" w:rsidP="00C03F18">
            <w:r w:rsidRPr="00D32B5B">
              <w:t xml:space="preserve">Guide crée à l’occasion du congrès annuel du </w:t>
            </w:r>
            <w:proofErr w:type="spellStart"/>
            <w:r w:rsidRPr="00D32B5B">
              <w:t>Big</w:t>
            </w:r>
            <w:proofErr w:type="spellEnd"/>
            <w:r w:rsidRPr="00D32B5B">
              <w:t xml:space="preserve"> Data dans lequel des projets</w:t>
            </w:r>
            <w:r w:rsidR="004D4B46" w:rsidRPr="00D32B5B">
              <w:t xml:space="preserve"> d’entreprises</w:t>
            </w:r>
            <w:r w:rsidRPr="00D32B5B">
              <w:t xml:space="preserve"> sont mis en avant : </w:t>
            </w:r>
          </w:p>
          <w:p w:rsidR="003343C3" w:rsidRPr="00D32B5B" w:rsidRDefault="003343C3" w:rsidP="00A165BE">
            <w:r w:rsidRPr="00D32B5B">
              <w:t>P</w:t>
            </w:r>
            <w:r w:rsidR="00A779EF" w:rsidRPr="00D32B5B">
              <w:t xml:space="preserve"> </w:t>
            </w:r>
            <w:r w:rsidR="00C03F18" w:rsidRPr="00D32B5B">
              <w:t>37</w:t>
            </w:r>
            <w:r w:rsidR="006607E3" w:rsidRPr="00D32B5B">
              <w:t xml:space="preserve"> </w:t>
            </w:r>
            <w:r w:rsidR="00355289" w:rsidRPr="00D32B5B">
              <w:t xml:space="preserve">à </w:t>
            </w:r>
            <w:r w:rsidRPr="00D32B5B">
              <w:t>38 : la génomique</w:t>
            </w:r>
          </w:p>
          <w:p w:rsidR="003343C3" w:rsidRPr="00D32B5B" w:rsidRDefault="003343C3" w:rsidP="00A165BE">
            <w:r w:rsidRPr="00D32B5B">
              <w:t>P</w:t>
            </w:r>
            <w:r w:rsidR="00A779EF" w:rsidRPr="00D32B5B">
              <w:t xml:space="preserve"> </w:t>
            </w:r>
            <w:r w:rsidR="006607E3" w:rsidRPr="00D32B5B">
              <w:t xml:space="preserve">39 </w:t>
            </w:r>
            <w:r w:rsidR="00355289" w:rsidRPr="00D32B5B">
              <w:t xml:space="preserve"> à </w:t>
            </w:r>
            <w:r w:rsidRPr="00D32B5B">
              <w:t>40 : les transports aériens</w:t>
            </w:r>
          </w:p>
          <w:p w:rsidR="003343C3" w:rsidRPr="00D32B5B" w:rsidRDefault="003343C3" w:rsidP="00A165BE">
            <w:r w:rsidRPr="00D32B5B">
              <w:t>P</w:t>
            </w:r>
            <w:r w:rsidR="00A779EF" w:rsidRPr="00D32B5B">
              <w:t xml:space="preserve"> </w:t>
            </w:r>
            <w:r w:rsidR="006607E3" w:rsidRPr="00D32B5B">
              <w:t xml:space="preserve">36 </w:t>
            </w:r>
            <w:r w:rsidR="00355289" w:rsidRPr="00D32B5B">
              <w:t xml:space="preserve">à </w:t>
            </w:r>
            <w:r w:rsidRPr="00D32B5B">
              <w:t>3</w:t>
            </w:r>
            <w:r w:rsidR="006607E3" w:rsidRPr="00D32B5B">
              <w:t>7</w:t>
            </w:r>
            <w:r w:rsidRPr="00D32B5B">
              <w:t> : l’énergie</w:t>
            </w:r>
          </w:p>
          <w:p w:rsidR="003343C3" w:rsidRPr="00D32B5B" w:rsidRDefault="003343C3" w:rsidP="00A165BE">
            <w:r w:rsidRPr="00D32B5B">
              <w:t>P</w:t>
            </w:r>
            <w:r w:rsidR="00A779EF" w:rsidRPr="00D32B5B">
              <w:t xml:space="preserve"> </w:t>
            </w:r>
            <w:r w:rsidRPr="00D32B5B">
              <w:t>33</w:t>
            </w:r>
            <w:r w:rsidR="006607E3" w:rsidRPr="00D32B5B">
              <w:t xml:space="preserve"> </w:t>
            </w:r>
            <w:r w:rsidR="00355289" w:rsidRPr="00D32B5B">
              <w:t xml:space="preserve">à </w:t>
            </w:r>
            <w:r w:rsidR="006607E3" w:rsidRPr="00D32B5B">
              <w:t>34</w:t>
            </w:r>
            <w:r w:rsidRPr="00D32B5B">
              <w:t> : l’assurance évolutive</w:t>
            </w:r>
          </w:p>
          <w:p w:rsidR="003343C3" w:rsidRPr="00D32B5B" w:rsidRDefault="003343C3" w:rsidP="00355289">
            <w:r w:rsidRPr="00D32B5B">
              <w:t>P 31</w:t>
            </w:r>
            <w:r w:rsidR="00355289" w:rsidRPr="00D32B5B">
              <w:t xml:space="preserve"> à </w:t>
            </w:r>
            <w:r w:rsidRPr="00D32B5B">
              <w:t>32 : la lutte anti-fraude en matière de contrefaçon en ligne</w:t>
            </w:r>
          </w:p>
        </w:tc>
        <w:tc>
          <w:tcPr>
            <w:tcW w:w="3685" w:type="dxa"/>
          </w:tcPr>
          <w:p w:rsidR="003343C3" w:rsidRPr="00D32B5B" w:rsidRDefault="004D4B46" w:rsidP="004D4B46">
            <w:pPr>
              <w:rPr>
                <w:rStyle w:val="lev"/>
              </w:rPr>
            </w:pPr>
            <w:r w:rsidRPr="00D32B5B">
              <w:rPr>
                <w:b/>
              </w:rPr>
              <w:t xml:space="preserve">Illustration de l’utilisation du </w:t>
            </w:r>
            <w:proofErr w:type="spellStart"/>
            <w:r w:rsidRPr="00D32B5B">
              <w:rPr>
                <w:b/>
              </w:rPr>
              <w:t>Big</w:t>
            </w:r>
            <w:proofErr w:type="spellEnd"/>
            <w:r w:rsidRPr="00D32B5B">
              <w:rPr>
                <w:b/>
              </w:rPr>
              <w:t xml:space="preserve"> Data dans certains domaines d’activité : </w:t>
            </w:r>
          </w:p>
        </w:tc>
        <w:tc>
          <w:tcPr>
            <w:tcW w:w="3119" w:type="dxa"/>
          </w:tcPr>
          <w:p w:rsidR="003343C3" w:rsidRPr="00D32B5B" w:rsidRDefault="003343C3" w:rsidP="00673819">
            <w:pPr>
              <w:rPr>
                <w:rStyle w:val="lev"/>
              </w:rPr>
            </w:pPr>
            <w:r w:rsidRPr="00D32B5B">
              <w:rPr>
                <w:rStyle w:val="lev"/>
              </w:rPr>
              <w:t xml:space="preserve">Pôle 1 : </w:t>
            </w:r>
            <w:proofErr w:type="spellStart"/>
            <w:r w:rsidR="00C03F18" w:rsidRPr="00D32B5B">
              <w:rPr>
                <w:rStyle w:val="lev"/>
              </w:rPr>
              <w:t>Industry</w:t>
            </w:r>
            <w:proofErr w:type="spellEnd"/>
            <w:r w:rsidR="00C03F18" w:rsidRPr="00D32B5B">
              <w:rPr>
                <w:rStyle w:val="lev"/>
              </w:rPr>
              <w:t xml:space="preserve"> Solutions Center d’IBM</w:t>
            </w:r>
            <w:r w:rsidRPr="00D32B5B">
              <w:rPr>
                <w:rStyle w:val="lev"/>
              </w:rPr>
              <w:t>, la donnée au cœur de la transformation des organisations</w:t>
            </w:r>
            <w:r w:rsidR="00D755DA" w:rsidRPr="00D32B5B">
              <w:rPr>
                <w:rStyle w:val="lev"/>
              </w:rPr>
              <w:t>.</w:t>
            </w:r>
          </w:p>
          <w:p w:rsidR="003343C3" w:rsidRPr="00D32B5B" w:rsidRDefault="003343C3" w:rsidP="00A165BE">
            <w:pPr>
              <w:rPr>
                <w:rStyle w:val="lev"/>
              </w:rPr>
            </w:pPr>
          </w:p>
        </w:tc>
      </w:tr>
      <w:tr w:rsidR="003343C3" w:rsidTr="00F20097">
        <w:tc>
          <w:tcPr>
            <w:tcW w:w="3544" w:type="dxa"/>
            <w:gridSpan w:val="2"/>
          </w:tcPr>
          <w:p w:rsidR="003343C3" w:rsidRDefault="003343C3" w:rsidP="009A25B0">
            <w:r>
              <w:t xml:space="preserve">Livre blanc : le </w:t>
            </w:r>
            <w:proofErr w:type="spellStart"/>
            <w:r>
              <w:t>Big</w:t>
            </w:r>
            <w:proofErr w:type="spellEnd"/>
            <w:r>
              <w:t xml:space="preserve"> Data : l’accélérateur d’innovations 2014</w:t>
            </w:r>
          </w:p>
          <w:p w:rsidR="00B504FD" w:rsidRDefault="001B5297" w:rsidP="009A25B0">
            <w:hyperlink r:id="rId15" w:history="1">
              <w:r w:rsidR="00B504FD" w:rsidRPr="0072006B">
                <w:rPr>
                  <w:rStyle w:val="Lienhypertexte"/>
                </w:rPr>
                <w:t>http://www.renaissancenumerique.org/publications/rn/713-2014-12-17-14-52-00</w:t>
              </w:r>
            </w:hyperlink>
            <w:r w:rsidR="00B504FD">
              <w:t xml:space="preserve"> </w:t>
            </w:r>
          </w:p>
        </w:tc>
        <w:tc>
          <w:tcPr>
            <w:tcW w:w="4253" w:type="dxa"/>
          </w:tcPr>
          <w:p w:rsidR="003343C3" w:rsidRDefault="003343C3" w:rsidP="00A165BE">
            <w:r>
              <w:t>P 64</w:t>
            </w:r>
            <w:r w:rsidR="00355289">
              <w:t xml:space="preserve"> à</w:t>
            </w:r>
            <w:r w:rsidR="00A779EF">
              <w:t xml:space="preserve"> 65</w:t>
            </w:r>
            <w:r>
              <w:t xml:space="preserve"> : </w:t>
            </w:r>
            <w:r w:rsidR="00A779EF">
              <w:t xml:space="preserve">le </w:t>
            </w:r>
            <w:proofErr w:type="spellStart"/>
            <w:r w:rsidR="00A779EF">
              <w:t>Big</w:t>
            </w:r>
            <w:proofErr w:type="spellEnd"/>
            <w:r w:rsidR="00A779EF">
              <w:t xml:space="preserve"> Data et l’assurance</w:t>
            </w:r>
          </w:p>
          <w:p w:rsidR="003343C3" w:rsidRDefault="003343C3" w:rsidP="00A165BE">
            <w:r>
              <w:t>P 69 </w:t>
            </w:r>
            <w:r w:rsidR="00355289">
              <w:t xml:space="preserve"> à </w:t>
            </w:r>
            <w:r w:rsidR="00A779EF">
              <w:t>71</w:t>
            </w:r>
            <w:r>
              <w:t>: le commerce électronique (mobile, desktop, ou sur tablette, génère des données)</w:t>
            </w:r>
          </w:p>
          <w:p w:rsidR="003343C3" w:rsidRDefault="003343C3" w:rsidP="00A165BE">
            <w:r>
              <w:t>P 73</w:t>
            </w:r>
            <w:r w:rsidR="00355289">
              <w:t xml:space="preserve"> à 74</w:t>
            </w:r>
            <w:r>
              <w:t xml:space="preserve"> le </w:t>
            </w:r>
            <w:proofErr w:type="spellStart"/>
            <w:r>
              <w:t>Big</w:t>
            </w:r>
            <w:proofErr w:type="spellEnd"/>
            <w:r>
              <w:t xml:space="preserve"> Data et la GRH</w:t>
            </w:r>
          </w:p>
          <w:p w:rsidR="003343C3" w:rsidRDefault="003343C3" w:rsidP="00A165BE">
            <w:r>
              <w:t>P 77 </w:t>
            </w:r>
            <w:r w:rsidR="00355289">
              <w:t xml:space="preserve"> à 79</w:t>
            </w:r>
            <w:r>
              <w:t xml:space="preserve">: le </w:t>
            </w:r>
            <w:proofErr w:type="spellStart"/>
            <w:r>
              <w:t>Big</w:t>
            </w:r>
            <w:proofErr w:type="spellEnd"/>
            <w:r>
              <w:t xml:space="preserve"> Data et la ville</w:t>
            </w:r>
          </w:p>
          <w:p w:rsidR="003343C3" w:rsidRDefault="003343C3" w:rsidP="00A165BE">
            <w:r>
              <w:t>P 81 </w:t>
            </w:r>
            <w:r w:rsidR="00355289">
              <w:t xml:space="preserve"> à 84 : </w:t>
            </w:r>
            <w:r>
              <w:t xml:space="preserve">le </w:t>
            </w:r>
            <w:proofErr w:type="spellStart"/>
            <w:r>
              <w:t>Big</w:t>
            </w:r>
            <w:proofErr w:type="spellEnd"/>
            <w:r>
              <w:t xml:space="preserve"> Data et le m</w:t>
            </w:r>
            <w:r w:rsidR="00355289">
              <w:t>ar</w:t>
            </w:r>
            <w:r>
              <w:t>k</w:t>
            </w:r>
            <w:r w:rsidR="00355289">
              <w:t>etin</w:t>
            </w:r>
            <w:r>
              <w:t>g</w:t>
            </w:r>
          </w:p>
          <w:p w:rsidR="003343C3" w:rsidRDefault="00355289" w:rsidP="00A165BE">
            <w:r>
              <w:t xml:space="preserve">P 87  à 89 : </w:t>
            </w:r>
            <w:r w:rsidR="003343C3">
              <w:t xml:space="preserve">le </w:t>
            </w:r>
            <w:proofErr w:type="spellStart"/>
            <w:r w:rsidR="003343C3">
              <w:t>B</w:t>
            </w:r>
            <w:r>
              <w:t>ig</w:t>
            </w:r>
            <w:proofErr w:type="spellEnd"/>
            <w:r w:rsidR="003343C3">
              <w:t xml:space="preserve"> D</w:t>
            </w:r>
            <w:r>
              <w:t>ata</w:t>
            </w:r>
            <w:r w:rsidR="003343C3">
              <w:t xml:space="preserve"> et la quête de l’immortalité</w:t>
            </w:r>
          </w:p>
          <w:p w:rsidR="003343C3" w:rsidRDefault="003343C3" w:rsidP="00A165BE">
            <w:r>
              <w:t>P 95 </w:t>
            </w:r>
            <w:r w:rsidR="00701B55">
              <w:t xml:space="preserve">à 102 </w:t>
            </w:r>
            <w:r>
              <w:t>: Les enjeux juridiques de cette révolution</w:t>
            </w:r>
          </w:p>
        </w:tc>
        <w:tc>
          <w:tcPr>
            <w:tcW w:w="3685" w:type="dxa"/>
          </w:tcPr>
          <w:p w:rsidR="00701B55" w:rsidRDefault="00701B55" w:rsidP="00701B55">
            <w:pPr>
              <w:rPr>
                <w:b/>
              </w:rPr>
            </w:pPr>
            <w:r>
              <w:rPr>
                <w:b/>
              </w:rPr>
              <w:t xml:space="preserve">Illustration de l’utilisation du </w:t>
            </w:r>
            <w:proofErr w:type="spellStart"/>
            <w:r>
              <w:rPr>
                <w:b/>
              </w:rPr>
              <w:t>Big</w:t>
            </w:r>
            <w:proofErr w:type="spellEnd"/>
            <w:r>
              <w:rPr>
                <w:b/>
              </w:rPr>
              <w:t xml:space="preserve"> Data dans certains domaines d’activité </w:t>
            </w:r>
          </w:p>
          <w:p w:rsidR="003343C3" w:rsidRPr="00DB75A8" w:rsidRDefault="00701B55" w:rsidP="00701B55">
            <w:pPr>
              <w:rPr>
                <w:rStyle w:val="lev"/>
              </w:rPr>
            </w:pPr>
            <w:r>
              <w:rPr>
                <w:b/>
              </w:rPr>
              <w:t>Exposé des enjeux juridiques</w:t>
            </w:r>
          </w:p>
        </w:tc>
        <w:tc>
          <w:tcPr>
            <w:tcW w:w="3119" w:type="dxa"/>
          </w:tcPr>
          <w:p w:rsidR="003343C3" w:rsidRPr="00DB75A8" w:rsidRDefault="003343C3" w:rsidP="00D755DA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  <w:r w:rsidR="00D755DA">
              <w:rPr>
                <w:rStyle w:val="lev"/>
              </w:rPr>
              <w:t>.</w:t>
            </w:r>
          </w:p>
        </w:tc>
      </w:tr>
      <w:tr w:rsidR="003343C3" w:rsidTr="00F20097">
        <w:tc>
          <w:tcPr>
            <w:tcW w:w="3544" w:type="dxa"/>
            <w:gridSpan w:val="2"/>
          </w:tcPr>
          <w:p w:rsidR="003343C3" w:rsidRDefault="003343C3" w:rsidP="00B05C48">
            <w:proofErr w:type="spellStart"/>
            <w:r>
              <w:t>Big</w:t>
            </w:r>
            <w:proofErr w:type="spellEnd"/>
            <w:r>
              <w:t xml:space="preserve"> data : optimiser les processus métiers grâce aux données</w:t>
            </w:r>
          </w:p>
          <w:p w:rsidR="003343C3" w:rsidRDefault="003343C3" w:rsidP="003343C3">
            <w:r w:rsidRPr="009F1117">
              <w:t>It for Business</w:t>
            </w:r>
            <w:r>
              <w:t xml:space="preserve"> novembre 2015</w:t>
            </w:r>
            <w:r w:rsidR="00971311">
              <w:t xml:space="preserve"> p54</w:t>
            </w:r>
          </w:p>
          <w:p w:rsidR="003343C3" w:rsidRPr="00971311" w:rsidRDefault="003343C3" w:rsidP="00B05C48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3343C3" w:rsidRDefault="003343C3" w:rsidP="00A165BE">
            <w:r>
              <w:t>La valorisation des données pour un usage d’amélioration des processus métiers</w:t>
            </w:r>
          </w:p>
        </w:tc>
        <w:tc>
          <w:tcPr>
            <w:tcW w:w="3685" w:type="dxa"/>
          </w:tcPr>
          <w:p w:rsidR="003343C3" w:rsidRPr="00DB75A8" w:rsidRDefault="00971311" w:rsidP="00B05C48">
            <w:pPr>
              <w:rPr>
                <w:rStyle w:val="lev"/>
              </w:rPr>
            </w:pPr>
            <w:r>
              <w:rPr>
                <w:b/>
              </w:rPr>
              <w:t xml:space="preserve">Illustration de l’utilisation du </w:t>
            </w:r>
            <w:proofErr w:type="spellStart"/>
            <w:r>
              <w:rPr>
                <w:b/>
              </w:rPr>
              <w:t>Big</w:t>
            </w:r>
            <w:proofErr w:type="spellEnd"/>
            <w:r>
              <w:rPr>
                <w:b/>
              </w:rPr>
              <w:t xml:space="preserve"> Data : </w:t>
            </w:r>
            <w:r>
              <w:t xml:space="preserve">transformation des </w:t>
            </w:r>
            <w:r w:rsidRPr="00E12354">
              <w:t xml:space="preserve"> données</w:t>
            </w:r>
            <w:r>
              <w:t xml:space="preserve"> en i</w:t>
            </w:r>
            <w:r w:rsidRPr="00E12354">
              <w:t>nformations</w:t>
            </w:r>
            <w:r>
              <w:t xml:space="preserve"> utilisables pour </w:t>
            </w:r>
            <w:r w:rsidR="002D7845">
              <w:t>l’évolution des processus métiers</w:t>
            </w:r>
          </w:p>
        </w:tc>
        <w:tc>
          <w:tcPr>
            <w:tcW w:w="3119" w:type="dxa"/>
          </w:tcPr>
          <w:p w:rsidR="003343C3" w:rsidRPr="00DB75A8" w:rsidRDefault="003343C3" w:rsidP="00D755DA">
            <w:pPr>
              <w:rPr>
                <w:rStyle w:val="lev"/>
              </w:rPr>
            </w:pPr>
            <w:r w:rsidRPr="00DB75A8">
              <w:rPr>
                <w:rStyle w:val="lev"/>
              </w:rPr>
              <w:t xml:space="preserve">Pôle 1 : </w:t>
            </w:r>
            <w:proofErr w:type="spellStart"/>
            <w:r w:rsidR="00C03F18">
              <w:rPr>
                <w:rStyle w:val="lev"/>
              </w:rPr>
              <w:t>Industry</w:t>
            </w:r>
            <w:proofErr w:type="spellEnd"/>
            <w:r w:rsidR="00C03F18">
              <w:rPr>
                <w:rStyle w:val="lev"/>
              </w:rPr>
              <w:t xml:space="preserve"> Solutions Center d’IBM</w:t>
            </w:r>
            <w:r w:rsidRPr="00DB75A8">
              <w:rPr>
                <w:rStyle w:val="lev"/>
              </w:rPr>
              <w:t>, la donnée au cœur de la transformation des organisations</w:t>
            </w:r>
            <w:r w:rsidR="00D755DA">
              <w:rPr>
                <w:rStyle w:val="lev"/>
              </w:rPr>
              <w:t>.</w:t>
            </w:r>
          </w:p>
        </w:tc>
      </w:tr>
      <w:tr w:rsidR="007C38D3" w:rsidRPr="001B369A" w:rsidTr="00DC7452">
        <w:trPr>
          <w:trHeight w:val="1653"/>
        </w:trPr>
        <w:tc>
          <w:tcPr>
            <w:tcW w:w="3342" w:type="dxa"/>
          </w:tcPr>
          <w:p w:rsidR="00E73235" w:rsidRDefault="00E73235" w:rsidP="000E4F0F">
            <w:r w:rsidRPr="00E91E06">
              <w:rPr>
                <w:noProof/>
                <w:lang w:eastAsia="fr-FR"/>
              </w:rPr>
              <w:lastRenderedPageBreak/>
              <w:drawing>
                <wp:anchor distT="36576" distB="36576" distL="36576" distR="36576" simplePos="0" relativeHeight="251660800" behindDoc="1" locked="0" layoutInCell="1" allowOverlap="1" wp14:anchorId="7CB79B5C" wp14:editId="2AD0093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648970</wp:posOffset>
                  </wp:positionV>
                  <wp:extent cx="753110" cy="755015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309" y="21255"/>
                      <wp:lineTo x="21309" y="0"/>
                      <wp:lineTo x="0" y="0"/>
                    </wp:wrapPolygon>
                  </wp:wrapTight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50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C38D3" w:rsidRPr="00E91E06">
              <w:t xml:space="preserve">Rapport Ambition Numérique : pour une politique française </w:t>
            </w:r>
            <w:r w:rsidR="007C38D3">
              <w:t>et européenne de la transition numérique</w:t>
            </w:r>
          </w:p>
          <w:p w:rsidR="007C38D3" w:rsidRPr="00E91E06" w:rsidRDefault="00E73235" w:rsidP="000E4F0F">
            <w:r w:rsidRPr="00E73235">
              <w:t>https://contribuez.cnnumerique.fr/sites/default/files/media/CNNum--rapport-ambition-numerique.pdf</w:t>
            </w:r>
            <w:r w:rsidR="007C38D3">
              <w:t>.</w:t>
            </w:r>
          </w:p>
        </w:tc>
        <w:tc>
          <w:tcPr>
            <w:tcW w:w="4455" w:type="dxa"/>
            <w:gridSpan w:val="2"/>
          </w:tcPr>
          <w:p w:rsidR="007C38D3" w:rsidRPr="00E91E06" w:rsidRDefault="007C38D3" w:rsidP="000E4F0F">
            <w:r w:rsidRPr="00E91E06">
              <w:t>Le rapport présente en 4 volets</w:t>
            </w:r>
            <w:r>
              <w:t xml:space="preserve"> 70 propositions pour opérer la transformation numérique de la société et en faire un levier du progrès social. Il a pour ambition de nourrir les projets de lois ayant un rapport avec le numérique.</w:t>
            </w:r>
          </w:p>
        </w:tc>
        <w:tc>
          <w:tcPr>
            <w:tcW w:w="3685" w:type="dxa"/>
          </w:tcPr>
          <w:p w:rsidR="007C38D3" w:rsidRDefault="007C38D3" w:rsidP="007C38D3">
            <w:pPr>
              <w:pStyle w:val="Paragraphedeliste"/>
              <w:numPr>
                <w:ilvl w:val="0"/>
                <w:numId w:val="3"/>
              </w:numPr>
              <w:ind w:left="222" w:right="-27" w:hanging="222"/>
            </w:pPr>
            <w:r w:rsidRPr="00F20097">
              <w:rPr>
                <w:b/>
              </w:rPr>
              <w:t>Comprendre</w:t>
            </w:r>
            <w:r>
              <w:t xml:space="preserve"> les enjeux sociétaux du numérique</w:t>
            </w:r>
          </w:p>
          <w:p w:rsidR="007C38D3" w:rsidRPr="00E91E06" w:rsidRDefault="007C38D3" w:rsidP="007C38D3">
            <w:pPr>
              <w:pStyle w:val="Paragraphedeliste"/>
              <w:numPr>
                <w:ilvl w:val="0"/>
                <w:numId w:val="3"/>
              </w:numPr>
              <w:ind w:left="222" w:right="-27" w:hanging="222"/>
            </w:pPr>
            <w:r>
              <w:t>Un glossaire du monde numérique (p383)</w:t>
            </w:r>
          </w:p>
        </w:tc>
        <w:tc>
          <w:tcPr>
            <w:tcW w:w="3119" w:type="dxa"/>
          </w:tcPr>
          <w:p w:rsidR="007C38D3" w:rsidRPr="00E91E06" w:rsidRDefault="00E73235" w:rsidP="00E73235">
            <w:r w:rsidRPr="00E73235">
              <w:rPr>
                <w:b/>
              </w:rPr>
              <w:t>Conférences</w:t>
            </w:r>
          </w:p>
        </w:tc>
      </w:tr>
      <w:tr w:rsidR="007C38D3" w:rsidRPr="001B369A" w:rsidTr="00DC7452">
        <w:trPr>
          <w:trHeight w:val="1377"/>
        </w:trPr>
        <w:tc>
          <w:tcPr>
            <w:tcW w:w="3342" w:type="dxa"/>
          </w:tcPr>
          <w:p w:rsidR="007C38D3" w:rsidRDefault="007C38D3" w:rsidP="000E4F0F">
            <w:r>
              <w:t>Le numérique, une chance pour le système éducatif ?</w:t>
            </w:r>
          </w:p>
          <w:p w:rsidR="007C38D3" w:rsidRPr="00E91E06" w:rsidRDefault="007C38D3" w:rsidP="000E4F0F">
            <w:r>
              <w:t>AFAE</w:t>
            </w:r>
          </w:p>
        </w:tc>
        <w:tc>
          <w:tcPr>
            <w:tcW w:w="4455" w:type="dxa"/>
            <w:gridSpan w:val="2"/>
          </w:tcPr>
          <w:p w:rsidR="007C38D3" w:rsidRPr="00E91E06" w:rsidRDefault="007C38D3" w:rsidP="000E4F0F">
            <w:proofErr w:type="spellStart"/>
            <w:r>
              <w:t>A</w:t>
            </w:r>
            <w:proofErr w:type="spellEnd"/>
            <w:r>
              <w:t xml:space="preserve"> travers des articles de fond, l’ouvrage propose une réflexion sur les enjeux du numérique pour le système éducatif et ses acteurs. Sans perdre de vue l’objectif ultime du système éducatif (</w:t>
            </w:r>
            <w:proofErr w:type="spellStart"/>
            <w:r>
              <w:t>constuire</w:t>
            </w:r>
            <w:proofErr w:type="spellEnd"/>
            <w:r>
              <w:t xml:space="preserve"> une école plus juste dans un monde où s’accroissent les inégalités), les articles mesurent, entre la forte résistance au changement et la fascination face à la toile, les enjeux pour les acteurs de l’école.</w:t>
            </w:r>
          </w:p>
        </w:tc>
        <w:tc>
          <w:tcPr>
            <w:tcW w:w="3685" w:type="dxa"/>
          </w:tcPr>
          <w:p w:rsidR="007C38D3" w:rsidRPr="00E91E06" w:rsidRDefault="007C38D3" w:rsidP="000E4F0F">
            <w:r w:rsidRPr="00F20097">
              <w:rPr>
                <w:b/>
              </w:rPr>
              <w:t>Réfléchir</w:t>
            </w:r>
            <w:r>
              <w:t xml:space="preserve"> sur la mise en œuvre du numérique dans le cadre de la pédagogie.</w:t>
            </w:r>
          </w:p>
        </w:tc>
        <w:tc>
          <w:tcPr>
            <w:tcW w:w="3119" w:type="dxa"/>
          </w:tcPr>
          <w:p w:rsidR="007C38D3" w:rsidRDefault="00E73235" w:rsidP="000E4F0F">
            <w:pPr>
              <w:rPr>
                <w:rStyle w:val="lev"/>
              </w:rPr>
            </w:pPr>
            <w:r w:rsidRPr="00D755DA">
              <w:rPr>
                <w:b/>
              </w:rPr>
              <w:t>Pôle 3</w:t>
            </w:r>
            <w:r>
              <w:rPr>
                <w:b/>
              </w:rPr>
              <w:t xml:space="preserve"> : </w:t>
            </w:r>
            <w:r w:rsidRPr="00D755DA">
              <w:rPr>
                <w:rStyle w:val="lev"/>
              </w:rPr>
              <w:t>Le rôle</w:t>
            </w:r>
            <w:r>
              <w:rPr>
                <w:rStyle w:val="lev"/>
              </w:rPr>
              <w:t xml:space="preserve"> formateur de l’école à la société numérique</w:t>
            </w:r>
          </w:p>
          <w:p w:rsidR="00E73235" w:rsidRDefault="00E73235" w:rsidP="000E4F0F">
            <w:pPr>
              <w:rPr>
                <w:rStyle w:val="lev"/>
              </w:rPr>
            </w:pPr>
          </w:p>
          <w:p w:rsidR="00E73235" w:rsidRPr="00E91E06" w:rsidRDefault="00E73235" w:rsidP="000E4F0F">
            <w:r w:rsidRPr="00E73235">
              <w:rPr>
                <w:b/>
              </w:rPr>
              <w:t>Conférences</w:t>
            </w:r>
          </w:p>
        </w:tc>
      </w:tr>
      <w:tr w:rsidR="007C38D3" w:rsidRPr="001B369A" w:rsidTr="00DC7452">
        <w:trPr>
          <w:trHeight w:val="2880"/>
        </w:trPr>
        <w:tc>
          <w:tcPr>
            <w:tcW w:w="3342" w:type="dxa"/>
          </w:tcPr>
          <w:p w:rsidR="007C38D3" w:rsidRPr="00F20097" w:rsidRDefault="007C38D3" w:rsidP="000E4F0F">
            <w:proofErr w:type="spellStart"/>
            <w:r w:rsidRPr="00F20097">
              <w:t>Economie</w:t>
            </w:r>
            <w:proofErr w:type="spellEnd"/>
            <w:r w:rsidRPr="00F20097">
              <w:t xml:space="preserve"> et Management</w:t>
            </w:r>
          </w:p>
          <w:p w:rsidR="007C38D3" w:rsidRPr="00F20097" w:rsidRDefault="007C38D3" w:rsidP="000E4F0F">
            <w:r w:rsidRPr="00F20097">
              <w:t>La révolution numérique</w:t>
            </w:r>
          </w:p>
          <w:p w:rsidR="00E73235" w:rsidRDefault="001B5297" w:rsidP="000E4F0F">
            <w:hyperlink r:id="rId17" w:history="1">
              <w:r w:rsidR="00E73235" w:rsidRPr="0072006B">
                <w:rPr>
                  <w:rStyle w:val="Lienhypertexte"/>
                </w:rPr>
                <w:t>https://www.reseau-canope.fr/notice/economie-et-management-n-156-juin-2015.html</w:t>
              </w:r>
            </w:hyperlink>
            <w:r w:rsidR="00E73235">
              <w:t xml:space="preserve"> </w:t>
            </w:r>
          </w:p>
          <w:p w:rsidR="007C38D3" w:rsidRDefault="007C38D3" w:rsidP="000E4F0F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F9CA0C3" wp14:editId="16D040B1">
                  <wp:extent cx="1049655" cy="147891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gridSpan w:val="2"/>
          </w:tcPr>
          <w:p w:rsidR="007C38D3" w:rsidRPr="00AB3031" w:rsidRDefault="007C38D3" w:rsidP="000E4F0F">
            <w:pPr>
              <w:jc w:val="both"/>
            </w:pPr>
            <w:r w:rsidRPr="00F20097">
              <w:lastRenderedPageBreak/>
              <w:t xml:space="preserve">Grâce au développement des TIC, de nouveaux dispositifs pédagogiques émergent, à l'instar des </w:t>
            </w:r>
            <w:proofErr w:type="spellStart"/>
            <w:r w:rsidRPr="00F20097">
              <w:t>MOOCs</w:t>
            </w:r>
            <w:proofErr w:type="spellEnd"/>
            <w:r w:rsidRPr="00F20097">
              <w:t> et de la classe inversée, offrant de nouvelles possibilités d'envisager la relation enseignant-savoirs-apprenants. Mais l'outil numérique favorise-t-il les apprentissages ? Est-il plus motivant ? Plus efficace ? </w:t>
            </w:r>
            <w:r w:rsidRPr="00F20097">
              <w:br/>
              <w:t>Au final, la « culture des écrans » se révèle complémentaire de la « culture du livre » en permettant de développer de nouvelles occasions d'apprendre. Prendre le meilleur des</w:t>
            </w:r>
            <w:r w:rsidRPr="00AB3031">
              <w:t xml:space="preserve"> </w:t>
            </w:r>
            <w:r w:rsidRPr="00AB3031">
              <w:lastRenderedPageBreak/>
              <w:t>deux pour favoriser la créativité, l'échange collaboratif ainsi que la capacité à résoudre des problèmes complexes, tels sont les défis de l'</w:t>
            </w:r>
            <w:proofErr w:type="spellStart"/>
            <w:r w:rsidRPr="00AB3031">
              <w:t>Ecole</w:t>
            </w:r>
            <w:proofErr w:type="spellEnd"/>
            <w:r w:rsidRPr="00AB3031">
              <w:t xml:space="preserve"> du XXIème siècle.</w:t>
            </w:r>
            <w:r w:rsidRPr="00AB3031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7C38D3" w:rsidRDefault="007C38D3" w:rsidP="000E4F0F"/>
        </w:tc>
        <w:tc>
          <w:tcPr>
            <w:tcW w:w="3119" w:type="dxa"/>
          </w:tcPr>
          <w:p w:rsidR="007C38D3" w:rsidRPr="00E91E06" w:rsidRDefault="007C38D3" w:rsidP="000E4F0F"/>
        </w:tc>
      </w:tr>
      <w:tr w:rsidR="007C38D3" w:rsidRPr="001B369A" w:rsidTr="00DC7452">
        <w:trPr>
          <w:trHeight w:val="551"/>
        </w:trPr>
        <w:tc>
          <w:tcPr>
            <w:tcW w:w="3342" w:type="dxa"/>
          </w:tcPr>
          <w:p w:rsidR="007C38D3" w:rsidRDefault="007C38D3" w:rsidP="00E73235">
            <w:pPr>
              <w:rPr>
                <w:lang w:val="en-US"/>
              </w:rPr>
            </w:pPr>
            <w:proofErr w:type="spellStart"/>
            <w:r w:rsidRPr="00E73235">
              <w:rPr>
                <w:lang w:val="en-US"/>
              </w:rPr>
              <w:lastRenderedPageBreak/>
              <w:t>Mooc</w:t>
            </w:r>
            <w:proofErr w:type="spellEnd"/>
            <w:r w:rsidRPr="00E73235">
              <w:rPr>
                <w:lang w:val="en-US"/>
              </w:rPr>
              <w:t xml:space="preserve"> </w:t>
            </w:r>
            <w:proofErr w:type="spellStart"/>
            <w:r w:rsidRPr="00E73235">
              <w:rPr>
                <w:lang w:val="en-US"/>
              </w:rPr>
              <w:t>plateforme</w:t>
            </w:r>
            <w:proofErr w:type="spellEnd"/>
            <w:r w:rsidRPr="00E73235">
              <w:rPr>
                <w:lang w:val="en-US"/>
              </w:rPr>
              <w:t xml:space="preserve"> FUN</w:t>
            </w:r>
            <w:r w:rsidR="00E73235" w:rsidRPr="00E73235">
              <w:rPr>
                <w:lang w:val="en-US"/>
              </w:rPr>
              <w:t xml:space="preserve"> </w:t>
            </w:r>
          </w:p>
          <w:p w:rsidR="00DC7452" w:rsidRPr="00E73235" w:rsidRDefault="00DC7452" w:rsidP="00E7323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3BC32B" wp14:editId="29BB3F76">
                  <wp:extent cx="581660" cy="546100"/>
                  <wp:effectExtent l="0" t="0" r="8890" b="6350"/>
                  <wp:docPr id="5" name="Image 5" descr="Logo FU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gridSpan w:val="2"/>
          </w:tcPr>
          <w:p w:rsidR="007C38D3" w:rsidRPr="004B0055" w:rsidRDefault="007C38D3" w:rsidP="000E4F0F">
            <w:pPr>
              <w:jc w:val="both"/>
            </w:pPr>
            <w:r w:rsidRPr="00F20097">
              <w:rPr>
                <w:b/>
              </w:rPr>
              <w:t>Enseigner et former</w:t>
            </w:r>
            <w:r w:rsidRPr="004B0055">
              <w:t xml:space="preserve"> avec le numérique</w:t>
            </w:r>
          </w:p>
          <w:p w:rsidR="007C38D3" w:rsidRPr="00AB3031" w:rsidRDefault="007C38D3" w:rsidP="000E4F0F">
            <w:pPr>
              <w:jc w:val="both"/>
            </w:pPr>
          </w:p>
        </w:tc>
        <w:tc>
          <w:tcPr>
            <w:tcW w:w="3685" w:type="dxa"/>
          </w:tcPr>
          <w:p w:rsidR="007C38D3" w:rsidRDefault="007C38D3" w:rsidP="000E4F0F"/>
        </w:tc>
        <w:tc>
          <w:tcPr>
            <w:tcW w:w="3119" w:type="dxa"/>
          </w:tcPr>
          <w:p w:rsidR="00E73235" w:rsidRDefault="00E73235" w:rsidP="00E73235">
            <w:pPr>
              <w:rPr>
                <w:rStyle w:val="lev"/>
              </w:rPr>
            </w:pPr>
            <w:r w:rsidRPr="00D755DA">
              <w:rPr>
                <w:b/>
              </w:rPr>
              <w:t>Pôle 3</w:t>
            </w:r>
            <w:r>
              <w:rPr>
                <w:b/>
              </w:rPr>
              <w:t xml:space="preserve"> : </w:t>
            </w:r>
            <w:r w:rsidRPr="00D755DA">
              <w:rPr>
                <w:rStyle w:val="lev"/>
              </w:rPr>
              <w:t>Le rôle</w:t>
            </w:r>
            <w:r>
              <w:rPr>
                <w:rStyle w:val="lev"/>
              </w:rPr>
              <w:t xml:space="preserve"> formateur de l’école à la société numérique</w:t>
            </w:r>
          </w:p>
          <w:p w:rsidR="00E73235" w:rsidRDefault="00E73235" w:rsidP="00E73235">
            <w:pPr>
              <w:rPr>
                <w:rStyle w:val="lev"/>
              </w:rPr>
            </w:pPr>
          </w:p>
          <w:p w:rsidR="007C38D3" w:rsidRPr="00E91E06" w:rsidRDefault="00E73235" w:rsidP="00E73235">
            <w:r w:rsidRPr="00E73235">
              <w:rPr>
                <w:b/>
              </w:rPr>
              <w:t>Conférences</w:t>
            </w:r>
          </w:p>
        </w:tc>
      </w:tr>
      <w:tr w:rsidR="007C38D3" w:rsidRPr="00E73235" w:rsidTr="00DC7452">
        <w:trPr>
          <w:trHeight w:val="1665"/>
        </w:trPr>
        <w:tc>
          <w:tcPr>
            <w:tcW w:w="3342" w:type="dxa"/>
          </w:tcPr>
          <w:p w:rsidR="007C38D3" w:rsidRPr="00E73235" w:rsidRDefault="007C38D3" w:rsidP="000E4F0F">
            <w:pPr>
              <w:rPr>
                <w:lang w:val="en-US"/>
              </w:rPr>
            </w:pPr>
            <w:proofErr w:type="spellStart"/>
            <w:r w:rsidRPr="00E73235">
              <w:rPr>
                <w:lang w:val="en-US"/>
              </w:rPr>
              <w:t>Mooc</w:t>
            </w:r>
            <w:proofErr w:type="spellEnd"/>
            <w:r w:rsidRPr="00E73235">
              <w:rPr>
                <w:lang w:val="en-US"/>
              </w:rPr>
              <w:t xml:space="preserve"> FUN</w:t>
            </w:r>
          </w:p>
          <w:p w:rsidR="00DC7452" w:rsidRDefault="001B5297" w:rsidP="000E4F0F">
            <w:pPr>
              <w:rPr>
                <w:lang w:val="en-US"/>
              </w:rPr>
            </w:pPr>
            <w:hyperlink r:id="rId21" w:history="1">
              <w:r w:rsidR="00DC7452" w:rsidRPr="0072006B">
                <w:rPr>
                  <w:rStyle w:val="Lienhypertexte"/>
                  <w:lang w:val="en-US"/>
                </w:rPr>
                <w:t>https://www.france-universite-numerique-mooc.fr/courses/UPS/61001/session01/about</w:t>
              </w:r>
            </w:hyperlink>
          </w:p>
          <w:p w:rsidR="00DC7452" w:rsidRDefault="00DC7452" w:rsidP="000E4F0F">
            <w:pPr>
              <w:rPr>
                <w:lang w:val="en-US"/>
              </w:rPr>
            </w:pPr>
          </w:p>
          <w:p w:rsidR="007C38D3" w:rsidRPr="00E73235" w:rsidRDefault="00DC7452" w:rsidP="000E4F0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53719E31" wp14:editId="48CEA2A7">
                  <wp:extent cx="580390" cy="548640"/>
                  <wp:effectExtent l="0" t="0" r="0" b="3810"/>
                  <wp:docPr id="4" name="Image 4" descr="Logo FU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gridSpan w:val="2"/>
          </w:tcPr>
          <w:p w:rsidR="007C38D3" w:rsidRPr="00AB3031" w:rsidRDefault="007C38D3" w:rsidP="000E4F0F">
            <w:r w:rsidRPr="00F20097">
              <w:rPr>
                <w:b/>
              </w:rPr>
              <w:t>Gérer</w:t>
            </w:r>
            <w:r w:rsidRPr="00AB3031">
              <w:t xml:space="preserve"> son entreprise avec un ERP ou un Progiciel de Gestion Intégré</w:t>
            </w:r>
          </w:p>
          <w:p w:rsidR="007C38D3" w:rsidRPr="00AB3031" w:rsidRDefault="007C38D3" w:rsidP="000E4F0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555555"/>
                <w:kern w:val="36"/>
                <w:sz w:val="28"/>
                <w:szCs w:val="28"/>
                <w:lang w:eastAsia="fr-FR"/>
              </w:rPr>
            </w:pPr>
          </w:p>
        </w:tc>
        <w:tc>
          <w:tcPr>
            <w:tcW w:w="3685" w:type="dxa"/>
          </w:tcPr>
          <w:p w:rsidR="007C38D3" w:rsidRDefault="007C38D3" w:rsidP="000E4F0F"/>
        </w:tc>
        <w:tc>
          <w:tcPr>
            <w:tcW w:w="3119" w:type="dxa"/>
          </w:tcPr>
          <w:p w:rsidR="00E73235" w:rsidRDefault="00E73235" w:rsidP="00E73235">
            <w:pPr>
              <w:rPr>
                <w:rStyle w:val="lev"/>
              </w:rPr>
            </w:pPr>
            <w:r w:rsidRPr="00D755DA">
              <w:rPr>
                <w:b/>
              </w:rPr>
              <w:t>Pôle 3</w:t>
            </w:r>
            <w:r>
              <w:rPr>
                <w:b/>
              </w:rPr>
              <w:t xml:space="preserve"> : </w:t>
            </w:r>
            <w:r w:rsidRPr="00D755DA">
              <w:rPr>
                <w:rStyle w:val="lev"/>
              </w:rPr>
              <w:t>Le rôle</w:t>
            </w:r>
            <w:r>
              <w:rPr>
                <w:rStyle w:val="lev"/>
              </w:rPr>
              <w:t xml:space="preserve"> formateur de l’école à la société numérique</w:t>
            </w:r>
          </w:p>
          <w:p w:rsidR="00E73235" w:rsidRDefault="00E73235" w:rsidP="00E73235">
            <w:pPr>
              <w:rPr>
                <w:rStyle w:val="lev"/>
              </w:rPr>
            </w:pPr>
          </w:p>
          <w:p w:rsidR="007C38D3" w:rsidRPr="00E73235" w:rsidRDefault="00E73235" w:rsidP="00E73235">
            <w:r w:rsidRPr="00E73235">
              <w:rPr>
                <w:b/>
              </w:rPr>
              <w:t>Conférences</w:t>
            </w:r>
          </w:p>
        </w:tc>
      </w:tr>
    </w:tbl>
    <w:p w:rsidR="009E5E1C" w:rsidRDefault="009E5E1C" w:rsidP="009E5E1C">
      <w:pPr>
        <w:spacing w:after="0" w:line="240" w:lineRule="auto"/>
        <w:jc w:val="both"/>
        <w:rPr>
          <w:b/>
        </w:rPr>
      </w:pPr>
    </w:p>
    <w:p w:rsidR="00FD1210" w:rsidRPr="009E5E1C" w:rsidRDefault="009E5E1C" w:rsidP="009E5E1C">
      <w:pPr>
        <w:spacing w:after="0" w:line="240" w:lineRule="auto"/>
        <w:jc w:val="both"/>
        <w:rPr>
          <w:b/>
        </w:rPr>
      </w:pPr>
      <w:r w:rsidRPr="009E5E1C">
        <w:rPr>
          <w:b/>
        </w:rPr>
        <w:t xml:space="preserve">Un prochain numéro </w:t>
      </w:r>
      <w:bookmarkStart w:id="0" w:name="_GoBack"/>
      <w:bookmarkEnd w:id="0"/>
      <w:r>
        <w:rPr>
          <w:b/>
        </w:rPr>
        <w:t>d’E</w:t>
      </w:r>
      <w:r w:rsidRPr="009E5E1C">
        <w:rPr>
          <w:b/>
        </w:rPr>
        <w:t xml:space="preserve">conomie et Management devrait consacrer un dossier aux RV académiques </w:t>
      </w:r>
      <w:proofErr w:type="spellStart"/>
      <w:r w:rsidRPr="009E5E1C">
        <w:rPr>
          <w:b/>
        </w:rPr>
        <w:t>Ecogestion</w:t>
      </w:r>
      <w:proofErr w:type="spellEnd"/>
      <w:r w:rsidRPr="009E5E1C">
        <w:rPr>
          <w:b/>
        </w:rPr>
        <w:t xml:space="preserve"> 2016 chez IBM.</w:t>
      </w:r>
    </w:p>
    <w:sectPr w:rsidR="00FD1210" w:rsidRPr="009E5E1C" w:rsidSect="00953DCA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7" w:rsidRDefault="001B5297" w:rsidP="00426240">
      <w:pPr>
        <w:spacing w:after="0" w:line="240" w:lineRule="auto"/>
      </w:pPr>
      <w:r>
        <w:separator/>
      </w:r>
    </w:p>
  </w:endnote>
  <w:endnote w:type="continuationSeparator" w:id="0">
    <w:p w:rsidR="001B5297" w:rsidRDefault="001B5297" w:rsidP="0042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13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0097" w:rsidRDefault="00F20097" w:rsidP="00F2009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E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E1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097" w:rsidRDefault="00F200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7" w:rsidRDefault="001B5297" w:rsidP="00426240">
      <w:pPr>
        <w:spacing w:after="0" w:line="240" w:lineRule="auto"/>
      </w:pPr>
      <w:r>
        <w:separator/>
      </w:r>
    </w:p>
  </w:footnote>
  <w:footnote w:type="continuationSeparator" w:id="0">
    <w:p w:rsidR="001B5297" w:rsidRDefault="001B5297" w:rsidP="0042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3142"/>
    <w:multiLevelType w:val="multilevel"/>
    <w:tmpl w:val="CD3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A1DB2"/>
    <w:multiLevelType w:val="hybridMultilevel"/>
    <w:tmpl w:val="1674CD54"/>
    <w:lvl w:ilvl="0" w:tplc="36CA6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14E8"/>
    <w:multiLevelType w:val="hybridMultilevel"/>
    <w:tmpl w:val="5C442A92"/>
    <w:lvl w:ilvl="0" w:tplc="B9F6B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F1"/>
    <w:rsid w:val="0005421C"/>
    <w:rsid w:val="00071F51"/>
    <w:rsid w:val="000B43FF"/>
    <w:rsid w:val="000F1BA8"/>
    <w:rsid w:val="000F753E"/>
    <w:rsid w:val="00121E5B"/>
    <w:rsid w:val="00127621"/>
    <w:rsid w:val="001A0503"/>
    <w:rsid w:val="001B5297"/>
    <w:rsid w:val="001C76E4"/>
    <w:rsid w:val="00292869"/>
    <w:rsid w:val="002D7845"/>
    <w:rsid w:val="0030613D"/>
    <w:rsid w:val="003343C3"/>
    <w:rsid w:val="00355289"/>
    <w:rsid w:val="003F42D2"/>
    <w:rsid w:val="00422FC8"/>
    <w:rsid w:val="00426240"/>
    <w:rsid w:val="004C2BF1"/>
    <w:rsid w:val="004D4B46"/>
    <w:rsid w:val="004E250A"/>
    <w:rsid w:val="005948B3"/>
    <w:rsid w:val="005F0802"/>
    <w:rsid w:val="006607E3"/>
    <w:rsid w:val="00673819"/>
    <w:rsid w:val="006D1878"/>
    <w:rsid w:val="00701B55"/>
    <w:rsid w:val="007229A8"/>
    <w:rsid w:val="00745AE1"/>
    <w:rsid w:val="0074687E"/>
    <w:rsid w:val="007534E3"/>
    <w:rsid w:val="007C38D3"/>
    <w:rsid w:val="00924134"/>
    <w:rsid w:val="00952AD3"/>
    <w:rsid w:val="00953DCA"/>
    <w:rsid w:val="00971311"/>
    <w:rsid w:val="009A25B0"/>
    <w:rsid w:val="009E5E1C"/>
    <w:rsid w:val="009F1117"/>
    <w:rsid w:val="00A165BE"/>
    <w:rsid w:val="00A779EF"/>
    <w:rsid w:val="00A863E1"/>
    <w:rsid w:val="00AE753A"/>
    <w:rsid w:val="00AF18C4"/>
    <w:rsid w:val="00B05C48"/>
    <w:rsid w:val="00B504FD"/>
    <w:rsid w:val="00BA3B8C"/>
    <w:rsid w:val="00C03F18"/>
    <w:rsid w:val="00C250C0"/>
    <w:rsid w:val="00C977B8"/>
    <w:rsid w:val="00D32B5B"/>
    <w:rsid w:val="00D755DA"/>
    <w:rsid w:val="00DB4201"/>
    <w:rsid w:val="00DC7452"/>
    <w:rsid w:val="00DD0CC2"/>
    <w:rsid w:val="00E12354"/>
    <w:rsid w:val="00E73235"/>
    <w:rsid w:val="00EB492D"/>
    <w:rsid w:val="00ED6C65"/>
    <w:rsid w:val="00F20097"/>
    <w:rsid w:val="00F332B9"/>
    <w:rsid w:val="00F67036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C2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4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C2BF1"/>
    <w:rPr>
      <w:i/>
      <w:iCs/>
    </w:rPr>
  </w:style>
  <w:style w:type="character" w:styleId="lev">
    <w:name w:val="Strong"/>
    <w:basedOn w:val="Policepardfaut"/>
    <w:uiPriority w:val="22"/>
    <w:qFormat/>
    <w:rsid w:val="004C2BF1"/>
    <w:rPr>
      <w:b/>
      <w:bCs/>
    </w:rPr>
  </w:style>
  <w:style w:type="paragraph" w:styleId="NormalWeb">
    <w:name w:val="Normal (Web)"/>
    <w:basedOn w:val="Normal"/>
    <w:uiPriority w:val="99"/>
    <w:unhideWhenUsed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2B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C2BF1"/>
    <w:rPr>
      <w:color w:val="0000FF"/>
      <w:u w:val="single"/>
    </w:rPr>
  </w:style>
  <w:style w:type="paragraph" w:customStyle="1" w:styleId="Sous-titre1">
    <w:name w:val="Sous-titre1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C2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C2BF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C2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C2BF1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incentive">
    <w:name w:val="incentive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">
    <w:name w:val="comment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">
    <w:name w:val="author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5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753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3F4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42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240"/>
  </w:style>
  <w:style w:type="paragraph" w:styleId="Pieddepage">
    <w:name w:val="footer"/>
    <w:basedOn w:val="Normal"/>
    <w:link w:val="PieddepageCar"/>
    <w:uiPriority w:val="99"/>
    <w:unhideWhenUsed/>
    <w:rsid w:val="0042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240"/>
  </w:style>
  <w:style w:type="paragraph" w:styleId="Textedebulles">
    <w:name w:val="Balloon Text"/>
    <w:basedOn w:val="Normal"/>
    <w:link w:val="TextedebullesCar"/>
    <w:uiPriority w:val="99"/>
    <w:semiHidden/>
    <w:unhideWhenUsed/>
    <w:rsid w:val="009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11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250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7C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C2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4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C2BF1"/>
    <w:rPr>
      <w:i/>
      <w:iCs/>
    </w:rPr>
  </w:style>
  <w:style w:type="character" w:styleId="lev">
    <w:name w:val="Strong"/>
    <w:basedOn w:val="Policepardfaut"/>
    <w:uiPriority w:val="22"/>
    <w:qFormat/>
    <w:rsid w:val="004C2BF1"/>
    <w:rPr>
      <w:b/>
      <w:bCs/>
    </w:rPr>
  </w:style>
  <w:style w:type="paragraph" w:styleId="NormalWeb">
    <w:name w:val="Normal (Web)"/>
    <w:basedOn w:val="Normal"/>
    <w:uiPriority w:val="99"/>
    <w:unhideWhenUsed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2B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C2BF1"/>
    <w:rPr>
      <w:color w:val="0000FF"/>
      <w:u w:val="single"/>
    </w:rPr>
  </w:style>
  <w:style w:type="paragraph" w:customStyle="1" w:styleId="Sous-titre1">
    <w:name w:val="Sous-titre1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C2B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C2BF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C2B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C2BF1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incentive">
    <w:name w:val="incentive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">
    <w:name w:val="comment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hor">
    <w:name w:val="author"/>
    <w:basedOn w:val="Normal"/>
    <w:rsid w:val="004C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5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E753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3F4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42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240"/>
  </w:style>
  <w:style w:type="paragraph" w:styleId="Pieddepage">
    <w:name w:val="footer"/>
    <w:basedOn w:val="Normal"/>
    <w:link w:val="PieddepageCar"/>
    <w:uiPriority w:val="99"/>
    <w:unhideWhenUsed/>
    <w:rsid w:val="0042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240"/>
  </w:style>
  <w:style w:type="paragraph" w:styleId="Textedebulles">
    <w:name w:val="Balloon Text"/>
    <w:basedOn w:val="Normal"/>
    <w:link w:val="TextedebullesCar"/>
    <w:uiPriority w:val="99"/>
    <w:semiHidden/>
    <w:unhideWhenUsed/>
    <w:rsid w:val="009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11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250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7C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0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5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8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39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2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turibles.com/fr/base/revue/408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france-universite-numerique-mooc.fr/courses/UPS/61001/session01/abou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airn.info/" TargetMode="External"/><Relationship Id="rId17" Type="http://schemas.openxmlformats.org/officeDocument/2006/relationships/hyperlink" Target="https://www.reseau-canope.fr/notice/economie-et-management-n-156-juin-2015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vail-emploi.gouv.fr/IMG/pdf/Rapport_Mettling_-Transformation_numerique_vie_au_travail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enaissancenumerique.org/publications/rn/713-2014-12-17-14-52-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france-universite-numerique-mooc.fr/courses/UPS/61001/session01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eg.ac-versailles.fr/spip.php?article887" TargetMode="External"/><Relationship Id="rId14" Type="http://schemas.openxmlformats.org/officeDocument/2006/relationships/hyperlink" Target="http://www.bigdataparis.com/guide/BD14-15_Guide_BD_14136_2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6DDF-ECE6-49DE-BC9F-FD2CBCC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1569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Carine</cp:lastModifiedBy>
  <cp:revision>9</cp:revision>
  <cp:lastPrinted>2015-12-06T17:29:00Z</cp:lastPrinted>
  <dcterms:created xsi:type="dcterms:W3CDTF">2015-12-08T09:29:00Z</dcterms:created>
  <dcterms:modified xsi:type="dcterms:W3CDTF">2016-03-20T18:12:00Z</dcterms:modified>
</cp:coreProperties>
</file>