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92" w:rsidRPr="002D27F0" w:rsidRDefault="0020001B" w:rsidP="00387F48">
      <w:pPr>
        <w:pStyle w:val="Sansinterligne"/>
        <w:jc w:val="both"/>
        <w:rPr>
          <w:rFonts w:ascii="Century Schoolbook" w:hAnsi="Century Schoolbook"/>
          <w:b/>
        </w:rPr>
      </w:pPr>
      <w:r w:rsidRPr="002D27F0">
        <w:rPr>
          <w:rFonts w:ascii="Century Schoolbook" w:hAnsi="Century Schoolbook"/>
          <w:b/>
        </w:rPr>
        <w:t>L’acquisition de connaissances</w:t>
      </w:r>
      <w:r w:rsidR="00307175" w:rsidRPr="002D27F0">
        <w:rPr>
          <w:rFonts w:ascii="Century Schoolbook" w:hAnsi="Century Schoolbook"/>
          <w:b/>
        </w:rPr>
        <w:t xml:space="preserve"> –</w:t>
      </w:r>
      <w:r w:rsidR="00AE0CB3">
        <w:rPr>
          <w:rFonts w:ascii="Century Schoolbook" w:hAnsi="Century Schoolbook"/>
          <w:b/>
        </w:rPr>
        <w:t xml:space="preserve"> </w:t>
      </w:r>
      <w:r w:rsidR="00307175" w:rsidRPr="002D27F0">
        <w:rPr>
          <w:rFonts w:ascii="Century Schoolbook" w:hAnsi="Century Schoolbook"/>
          <w:b/>
        </w:rPr>
        <w:t>apports de la psychologie cognitive</w:t>
      </w:r>
    </w:p>
    <w:p w:rsidR="007144A8" w:rsidRDefault="007144A8" w:rsidP="00387F48">
      <w:pPr>
        <w:pStyle w:val="Sansinterligne"/>
        <w:jc w:val="both"/>
      </w:pPr>
    </w:p>
    <w:p w:rsidR="007144A8" w:rsidRPr="002D27F0" w:rsidRDefault="007144A8" w:rsidP="00387F48">
      <w:pPr>
        <w:pStyle w:val="Sansinterligne"/>
        <w:jc w:val="both"/>
        <w:rPr>
          <w:rFonts w:ascii="Century Schoolbook" w:hAnsi="Century Schoolbook"/>
          <w:sz w:val="22"/>
          <w:szCs w:val="22"/>
        </w:rPr>
      </w:pPr>
      <w:r w:rsidRPr="002D27F0">
        <w:rPr>
          <w:rFonts w:ascii="Century Schoolbook" w:hAnsi="Century Schoolbook"/>
          <w:sz w:val="22"/>
          <w:szCs w:val="22"/>
        </w:rPr>
        <w:t xml:space="preserve">Cet article propose une réflexion à partir d’un document de la revue Sciences Humaines : « Des nouveaux concepts pour enseigner » </w:t>
      </w:r>
      <w:hyperlink r:id="rId7" w:history="1">
        <w:r w:rsidRPr="002D27F0">
          <w:rPr>
            <w:rStyle w:val="Lienhypertexte"/>
            <w:rFonts w:ascii="Century Schoolbook" w:hAnsi="Century Schoolbook"/>
            <w:sz w:val="22"/>
            <w:szCs w:val="22"/>
          </w:rPr>
          <w:t>http://www.scienceshumaines.com/des-nouveaux-concepts-pour-enseigner_fr_11130.html</w:t>
        </w:r>
      </w:hyperlink>
    </w:p>
    <w:p w:rsidR="00E7361E" w:rsidRPr="002D27F0" w:rsidRDefault="00E7361E" w:rsidP="00387F48">
      <w:pPr>
        <w:pStyle w:val="Sansinterligne"/>
        <w:jc w:val="both"/>
        <w:rPr>
          <w:rFonts w:ascii="Century Schoolbook" w:hAnsi="Century Schoolbook"/>
          <w:sz w:val="22"/>
          <w:szCs w:val="22"/>
        </w:rPr>
      </w:pPr>
    </w:p>
    <w:p w:rsidR="00D52692" w:rsidRPr="002D27F0" w:rsidRDefault="007144A8" w:rsidP="00387F48">
      <w:pPr>
        <w:pStyle w:val="Sansinterligne"/>
        <w:jc w:val="both"/>
        <w:rPr>
          <w:rFonts w:ascii="Century Schoolbook" w:hAnsi="Century Schoolbook"/>
          <w:sz w:val="22"/>
          <w:szCs w:val="22"/>
        </w:rPr>
      </w:pPr>
      <w:r w:rsidRPr="002D27F0">
        <w:rPr>
          <w:rFonts w:ascii="Century Schoolbook" w:hAnsi="Century Schoolbook"/>
          <w:sz w:val="22"/>
          <w:szCs w:val="22"/>
        </w:rPr>
        <w:t>Ce document</w:t>
      </w:r>
      <w:r w:rsidR="008733C7" w:rsidRPr="002D27F0">
        <w:rPr>
          <w:rFonts w:ascii="Century Schoolbook" w:hAnsi="Century Schoolbook"/>
          <w:sz w:val="22"/>
          <w:szCs w:val="22"/>
        </w:rPr>
        <w:t xml:space="preserve"> aborde des éléments dégagé</w:t>
      </w:r>
      <w:r w:rsidR="00E7361E" w:rsidRPr="002D27F0">
        <w:rPr>
          <w:rFonts w:ascii="Century Schoolbook" w:hAnsi="Century Schoolbook"/>
          <w:sz w:val="22"/>
          <w:szCs w:val="22"/>
        </w:rPr>
        <w:t xml:space="preserve">s par des chercheurs en psychologie cognitive sur la </w:t>
      </w:r>
      <w:r w:rsidR="008733C7" w:rsidRPr="002D27F0">
        <w:rPr>
          <w:rFonts w:ascii="Century Schoolbook" w:hAnsi="Century Schoolbook"/>
          <w:sz w:val="22"/>
          <w:szCs w:val="22"/>
        </w:rPr>
        <w:t xml:space="preserve">manière d’acquérir de nouvelles connaissances. </w:t>
      </w:r>
      <w:r w:rsidR="00D52692" w:rsidRPr="002D27F0">
        <w:rPr>
          <w:rFonts w:ascii="Century Schoolbook" w:hAnsi="Century Schoolbook"/>
          <w:sz w:val="22"/>
          <w:szCs w:val="22"/>
        </w:rPr>
        <w:t>« La psychologie cognitive se centre sur les stratégies mentales des individus. Elle postule qu'apprendre, c'est comprendre : les connaissances sont acquises selon un processus de résolution de problèmes qui recourt à une véritable dynamique du questionnement. »</w:t>
      </w:r>
    </w:p>
    <w:p w:rsidR="008733C7" w:rsidRPr="002D27F0" w:rsidRDefault="008733C7" w:rsidP="00387F48">
      <w:pPr>
        <w:pStyle w:val="Sansinterligne"/>
        <w:jc w:val="both"/>
        <w:rPr>
          <w:rFonts w:ascii="Century Schoolbook" w:hAnsi="Century Schoolbook"/>
          <w:sz w:val="22"/>
          <w:szCs w:val="22"/>
        </w:rPr>
      </w:pPr>
      <w:r w:rsidRPr="002D27F0">
        <w:rPr>
          <w:rFonts w:ascii="Century Schoolbook" w:hAnsi="Century Schoolbook"/>
          <w:sz w:val="22"/>
          <w:szCs w:val="22"/>
        </w:rPr>
        <w:t>Dans un premier temps, seront présentés très succinctement – sans leur justification scientifique- quelques uns des concepts dégagés par les chercheurs ; la deuxième partie de cet article mettra en relation ces concepts avec l’élaboration d’une séquence pédagogique.</w:t>
      </w:r>
    </w:p>
    <w:p w:rsidR="008733C7" w:rsidRPr="002D27F0" w:rsidRDefault="008733C7" w:rsidP="00387F48">
      <w:pPr>
        <w:pStyle w:val="Sansinterligne"/>
        <w:jc w:val="both"/>
        <w:rPr>
          <w:rFonts w:ascii="Century Schoolbook" w:hAnsi="Century Schoolbook"/>
          <w:sz w:val="22"/>
          <w:szCs w:val="22"/>
        </w:rPr>
      </w:pPr>
    </w:p>
    <w:p w:rsidR="008733C7" w:rsidRPr="002D27F0" w:rsidRDefault="008733C7" w:rsidP="00387F48">
      <w:pPr>
        <w:pStyle w:val="Sansinterligne"/>
        <w:numPr>
          <w:ilvl w:val="0"/>
          <w:numId w:val="3"/>
        </w:numPr>
        <w:jc w:val="both"/>
        <w:rPr>
          <w:rFonts w:ascii="Century Schoolbook" w:hAnsi="Century Schoolbook"/>
          <w:b/>
          <w:sz w:val="22"/>
          <w:szCs w:val="22"/>
        </w:rPr>
      </w:pPr>
      <w:r w:rsidRPr="002D27F0">
        <w:rPr>
          <w:rFonts w:ascii="Century Schoolbook" w:hAnsi="Century Schoolbook"/>
          <w:b/>
          <w:sz w:val="22"/>
          <w:szCs w:val="22"/>
        </w:rPr>
        <w:t xml:space="preserve"> Les concepts dégagés par les chercheurs en psychologie cognitive</w:t>
      </w:r>
    </w:p>
    <w:p w:rsidR="008733C7" w:rsidRPr="002D27F0" w:rsidRDefault="008733C7" w:rsidP="00387F48">
      <w:pPr>
        <w:pStyle w:val="Sansinterligne"/>
        <w:ind w:left="720"/>
        <w:jc w:val="both"/>
        <w:rPr>
          <w:rFonts w:ascii="Century Schoolbook" w:hAnsi="Century Schoolbook"/>
          <w:b/>
          <w:sz w:val="22"/>
          <w:szCs w:val="22"/>
        </w:rPr>
      </w:pPr>
    </w:p>
    <w:p w:rsidR="00D52692" w:rsidRPr="002D27F0" w:rsidRDefault="00D52692" w:rsidP="00387F48">
      <w:pPr>
        <w:pStyle w:val="Sansinterligne"/>
        <w:numPr>
          <w:ilvl w:val="0"/>
          <w:numId w:val="2"/>
        </w:numPr>
        <w:jc w:val="both"/>
        <w:rPr>
          <w:rFonts w:ascii="Century Schoolbook" w:hAnsi="Century Schoolbook"/>
          <w:sz w:val="22"/>
          <w:szCs w:val="22"/>
        </w:rPr>
      </w:pPr>
      <w:r w:rsidRPr="002D27F0">
        <w:rPr>
          <w:rFonts w:ascii="Century Schoolbook" w:hAnsi="Century Schoolbook"/>
          <w:sz w:val="22"/>
          <w:szCs w:val="22"/>
        </w:rPr>
        <w:t xml:space="preserve">L’élève a des </w:t>
      </w:r>
      <w:r w:rsidRPr="002D27F0">
        <w:rPr>
          <w:rFonts w:ascii="Century Schoolbook" w:hAnsi="Century Schoolbook"/>
          <w:b/>
          <w:sz w:val="22"/>
          <w:szCs w:val="22"/>
        </w:rPr>
        <w:t>représentations </w:t>
      </w:r>
      <w:r w:rsidRPr="002D27F0">
        <w:rPr>
          <w:rFonts w:ascii="Century Schoolbook" w:hAnsi="Century Schoolbook"/>
          <w:sz w:val="22"/>
          <w:szCs w:val="22"/>
        </w:rPr>
        <w:t>:</w:t>
      </w:r>
    </w:p>
    <w:p w:rsidR="00D52692" w:rsidRPr="002D27F0" w:rsidRDefault="00D52692" w:rsidP="00387F48">
      <w:pPr>
        <w:pStyle w:val="Sansinterligne"/>
        <w:ind w:left="720"/>
        <w:jc w:val="both"/>
        <w:rPr>
          <w:rFonts w:ascii="Century Schoolbook" w:hAnsi="Century Schoolbook"/>
          <w:sz w:val="22"/>
          <w:szCs w:val="22"/>
        </w:rPr>
      </w:pPr>
      <w:r w:rsidRPr="002D27F0">
        <w:rPr>
          <w:rFonts w:ascii="Century Schoolbook" w:hAnsi="Century Schoolbook"/>
          <w:sz w:val="22"/>
          <w:szCs w:val="22"/>
        </w:rPr>
        <w:t>Il n’</w:t>
      </w:r>
      <w:r w:rsidR="00E7361E" w:rsidRPr="002D27F0">
        <w:rPr>
          <w:rFonts w:ascii="Century Schoolbook" w:hAnsi="Century Schoolbook"/>
          <w:sz w:val="22"/>
          <w:szCs w:val="22"/>
        </w:rPr>
        <w:t>arrive pas vierge</w:t>
      </w:r>
      <w:r w:rsidRPr="002D27F0">
        <w:rPr>
          <w:rFonts w:ascii="Century Schoolbook" w:hAnsi="Century Schoolbook"/>
          <w:sz w:val="22"/>
          <w:szCs w:val="22"/>
        </w:rPr>
        <w:t xml:space="preserve"> face au savoir scolaire ;</w:t>
      </w:r>
      <w:r w:rsidR="00E7361E" w:rsidRPr="002D27F0">
        <w:rPr>
          <w:rFonts w:ascii="Century Schoolbook" w:hAnsi="Century Schoolbook"/>
          <w:sz w:val="22"/>
          <w:szCs w:val="22"/>
        </w:rPr>
        <w:t xml:space="preserve"> il en a</w:t>
      </w:r>
      <w:r w:rsidRPr="002D27F0">
        <w:rPr>
          <w:rFonts w:ascii="Century Schoolbook" w:hAnsi="Century Schoolbook"/>
          <w:sz w:val="22"/>
          <w:szCs w:val="22"/>
        </w:rPr>
        <w:t xml:space="preserve"> des représentations dont on admet qu’elles sont faites de connaissances procédurales – on a une idée de « comment faire » quelque chose – et de connaissances déclaratives –on sait que.</w:t>
      </w:r>
    </w:p>
    <w:p w:rsidR="00D52692" w:rsidRPr="002D27F0" w:rsidRDefault="00D52692" w:rsidP="00387F48">
      <w:pPr>
        <w:pStyle w:val="Sansinterligne"/>
        <w:ind w:left="720"/>
        <w:jc w:val="both"/>
        <w:rPr>
          <w:rFonts w:ascii="Century Schoolbook" w:hAnsi="Century Schoolbook"/>
          <w:sz w:val="22"/>
          <w:szCs w:val="22"/>
        </w:rPr>
      </w:pPr>
      <w:r w:rsidRPr="002D27F0">
        <w:rPr>
          <w:rFonts w:ascii="Century Schoolbook" w:hAnsi="Century Schoolbook"/>
          <w:sz w:val="22"/>
          <w:szCs w:val="22"/>
        </w:rPr>
        <w:t>Il est donc nécessaire</w:t>
      </w:r>
      <w:r w:rsidR="00E7361E" w:rsidRPr="002D27F0">
        <w:rPr>
          <w:rFonts w:ascii="Century Schoolbook" w:hAnsi="Century Schoolbook"/>
          <w:sz w:val="22"/>
          <w:szCs w:val="22"/>
        </w:rPr>
        <w:t>,</w:t>
      </w:r>
      <w:r w:rsidRPr="002D27F0">
        <w:rPr>
          <w:rFonts w:ascii="Century Schoolbook" w:hAnsi="Century Schoolbook"/>
          <w:sz w:val="22"/>
          <w:szCs w:val="22"/>
        </w:rPr>
        <w:t xml:space="preserve"> face à de nouvelles acquisitions</w:t>
      </w:r>
      <w:r w:rsidR="00E7361E" w:rsidRPr="002D27F0">
        <w:rPr>
          <w:rFonts w:ascii="Century Schoolbook" w:hAnsi="Century Schoolbook"/>
          <w:sz w:val="22"/>
          <w:szCs w:val="22"/>
        </w:rPr>
        <w:t>,</w:t>
      </w:r>
      <w:r w:rsidRPr="002D27F0">
        <w:rPr>
          <w:rFonts w:ascii="Century Schoolbook" w:hAnsi="Century Schoolbook"/>
          <w:sz w:val="22"/>
          <w:szCs w:val="22"/>
        </w:rPr>
        <w:t xml:space="preserve"> de vérifier quelles sont les représentations des élèves à ce sujet afin, soit de s’appuyer sur elles, soit de les rectifier s’il </w:t>
      </w:r>
      <w:proofErr w:type="gramStart"/>
      <w:r w:rsidRPr="002D27F0">
        <w:rPr>
          <w:rFonts w:ascii="Century Schoolbook" w:hAnsi="Century Schoolbook"/>
          <w:sz w:val="22"/>
          <w:szCs w:val="22"/>
        </w:rPr>
        <w:t>s’avère qu’elles</w:t>
      </w:r>
      <w:proofErr w:type="gramEnd"/>
      <w:r w:rsidRPr="002D27F0">
        <w:rPr>
          <w:rFonts w:ascii="Century Schoolbook" w:hAnsi="Century Schoolbook"/>
          <w:sz w:val="22"/>
          <w:szCs w:val="22"/>
        </w:rPr>
        <w:t xml:space="preserve"> sont partiellement ou totalement erronées.</w:t>
      </w:r>
    </w:p>
    <w:p w:rsidR="00D52692" w:rsidRPr="002D27F0" w:rsidRDefault="00D52692" w:rsidP="00387F48">
      <w:pPr>
        <w:pStyle w:val="Sansinterligne"/>
        <w:ind w:left="426"/>
        <w:jc w:val="both"/>
        <w:rPr>
          <w:rFonts w:ascii="Century Schoolbook" w:hAnsi="Century Schoolbook"/>
          <w:sz w:val="22"/>
          <w:szCs w:val="22"/>
        </w:rPr>
      </w:pPr>
      <w:r w:rsidRPr="002D27F0">
        <w:rPr>
          <w:rFonts w:ascii="Century Schoolbook" w:hAnsi="Century Schoolbook"/>
          <w:sz w:val="22"/>
          <w:szCs w:val="22"/>
        </w:rPr>
        <w:t>Pour en savoir plus :</w:t>
      </w:r>
    </w:p>
    <w:p w:rsidR="00D52692" w:rsidRPr="002D27F0" w:rsidRDefault="00D52692" w:rsidP="00387F48">
      <w:pPr>
        <w:pStyle w:val="Sansinterligne"/>
        <w:ind w:left="426"/>
        <w:jc w:val="both"/>
        <w:rPr>
          <w:rFonts w:ascii="Century Schoolbook" w:hAnsi="Century Schoolbook"/>
          <w:sz w:val="22"/>
          <w:szCs w:val="22"/>
        </w:rPr>
      </w:pPr>
      <w:r w:rsidRPr="002D27F0">
        <w:rPr>
          <w:rFonts w:ascii="Century Schoolbook" w:hAnsi="Century Schoolbook"/>
          <w:sz w:val="22"/>
          <w:szCs w:val="22"/>
        </w:rPr>
        <w:t xml:space="preserve">- Voir l'entretien avec André </w:t>
      </w:r>
      <w:proofErr w:type="spellStart"/>
      <w:r w:rsidRPr="002D27F0">
        <w:rPr>
          <w:rFonts w:ascii="Century Schoolbook" w:hAnsi="Century Schoolbook"/>
          <w:sz w:val="22"/>
          <w:szCs w:val="22"/>
        </w:rPr>
        <w:t>Giordan</w:t>
      </w:r>
      <w:proofErr w:type="spellEnd"/>
      <w:r w:rsidRPr="002D27F0">
        <w:rPr>
          <w:rFonts w:ascii="Century Schoolbook" w:hAnsi="Century Schoolbook"/>
          <w:sz w:val="22"/>
          <w:szCs w:val="22"/>
        </w:rPr>
        <w:t xml:space="preserve">, </w:t>
      </w:r>
      <w:r w:rsidRPr="002D27F0">
        <w:rPr>
          <w:rFonts w:ascii="Century Schoolbook" w:hAnsi="Century Schoolbook"/>
          <w:i/>
          <w:iCs/>
          <w:sz w:val="22"/>
          <w:szCs w:val="22"/>
        </w:rPr>
        <w:t>(</w:t>
      </w:r>
      <w:proofErr w:type="spellStart"/>
      <w:r w:rsidRPr="002D27F0">
        <w:rPr>
          <w:rFonts w:ascii="Century Schoolbook" w:hAnsi="Century Schoolbook"/>
          <w:i/>
          <w:iCs/>
          <w:sz w:val="22"/>
          <w:szCs w:val="22"/>
        </w:rPr>
        <w:t>Re</w:t>
      </w:r>
      <w:proofErr w:type="spellEnd"/>
      <w:proofErr w:type="gramStart"/>
      <w:r w:rsidRPr="002D27F0">
        <w:rPr>
          <w:rFonts w:ascii="Century Schoolbook" w:hAnsi="Century Schoolbook"/>
          <w:i/>
          <w:iCs/>
          <w:sz w:val="22"/>
          <w:szCs w:val="22"/>
        </w:rPr>
        <w:t>)construire</w:t>
      </w:r>
      <w:proofErr w:type="gramEnd"/>
      <w:r w:rsidRPr="002D27F0">
        <w:rPr>
          <w:rFonts w:ascii="Century Schoolbook" w:hAnsi="Century Schoolbook"/>
          <w:i/>
          <w:iCs/>
          <w:sz w:val="22"/>
          <w:szCs w:val="22"/>
        </w:rPr>
        <w:t xml:space="preserve"> les connaissances</w:t>
      </w:r>
      <w:r w:rsidRPr="002D27F0">
        <w:rPr>
          <w:rFonts w:ascii="Century Schoolbook" w:hAnsi="Century Schoolbook"/>
          <w:sz w:val="22"/>
          <w:szCs w:val="22"/>
        </w:rPr>
        <w:t>, p. 22.</w:t>
      </w:r>
    </w:p>
    <w:p w:rsidR="00D52692" w:rsidRPr="002D27F0" w:rsidRDefault="00D52692" w:rsidP="00387F48">
      <w:pPr>
        <w:pStyle w:val="Sansinterligne"/>
        <w:ind w:left="426"/>
        <w:jc w:val="both"/>
        <w:rPr>
          <w:rFonts w:ascii="Century Schoolbook" w:hAnsi="Century Schoolbook"/>
          <w:sz w:val="22"/>
          <w:szCs w:val="22"/>
        </w:rPr>
      </w:pPr>
      <w:r w:rsidRPr="002D27F0">
        <w:rPr>
          <w:rFonts w:ascii="Century Schoolbook" w:hAnsi="Century Schoolbook"/>
          <w:sz w:val="22"/>
          <w:szCs w:val="22"/>
        </w:rPr>
        <w:t xml:space="preserve">- </w:t>
      </w:r>
      <w:proofErr w:type="spellStart"/>
      <w:r w:rsidRPr="002D27F0">
        <w:rPr>
          <w:rFonts w:ascii="Century Schoolbook" w:hAnsi="Century Schoolbook"/>
          <w:sz w:val="22"/>
          <w:szCs w:val="22"/>
        </w:rPr>
        <w:t>Goéry</w:t>
      </w:r>
      <w:proofErr w:type="spellEnd"/>
      <w:r w:rsidRPr="002D27F0">
        <w:rPr>
          <w:rFonts w:ascii="Century Schoolbook" w:hAnsi="Century Schoolbook"/>
          <w:sz w:val="22"/>
          <w:szCs w:val="22"/>
        </w:rPr>
        <w:t xml:space="preserve"> Delacote, </w:t>
      </w:r>
      <w:r w:rsidRPr="002D27F0">
        <w:rPr>
          <w:rFonts w:ascii="Century Schoolbook" w:hAnsi="Century Schoolbook"/>
          <w:i/>
          <w:iCs/>
          <w:sz w:val="22"/>
          <w:szCs w:val="22"/>
        </w:rPr>
        <w:t>Savoir apprendre, les nouvelles méthodes</w:t>
      </w:r>
      <w:r w:rsidRPr="002D27F0">
        <w:rPr>
          <w:rFonts w:ascii="Century Schoolbook" w:hAnsi="Century Schoolbook"/>
          <w:sz w:val="22"/>
          <w:szCs w:val="22"/>
        </w:rPr>
        <w:t>, Odile Jacob, 1996.</w:t>
      </w:r>
    </w:p>
    <w:p w:rsidR="00D52692" w:rsidRPr="002D27F0" w:rsidRDefault="00D52692" w:rsidP="00387F48">
      <w:pPr>
        <w:pStyle w:val="Sansinterligne"/>
        <w:ind w:left="720"/>
        <w:jc w:val="both"/>
        <w:rPr>
          <w:rFonts w:ascii="Century Schoolbook" w:hAnsi="Century Schoolbook"/>
          <w:sz w:val="22"/>
          <w:szCs w:val="22"/>
        </w:rPr>
      </w:pPr>
    </w:p>
    <w:p w:rsidR="00D52692" w:rsidRPr="002D27F0" w:rsidRDefault="00D52692" w:rsidP="00387F48">
      <w:pPr>
        <w:pStyle w:val="Sansinterligne"/>
        <w:numPr>
          <w:ilvl w:val="0"/>
          <w:numId w:val="2"/>
        </w:numPr>
        <w:jc w:val="both"/>
        <w:rPr>
          <w:rFonts w:ascii="Century Schoolbook" w:hAnsi="Century Schoolbook"/>
          <w:sz w:val="22"/>
          <w:szCs w:val="22"/>
        </w:rPr>
      </w:pPr>
      <w:r w:rsidRPr="002D27F0">
        <w:rPr>
          <w:rFonts w:ascii="Century Schoolbook" w:hAnsi="Century Schoolbook"/>
          <w:sz w:val="22"/>
          <w:szCs w:val="22"/>
        </w:rPr>
        <w:t xml:space="preserve"> La mise en place d’une séquence pédagogique autour de </w:t>
      </w:r>
      <w:r w:rsidRPr="002D27F0">
        <w:rPr>
          <w:rFonts w:ascii="Century Schoolbook" w:hAnsi="Century Schoolbook"/>
          <w:b/>
          <w:sz w:val="22"/>
          <w:szCs w:val="22"/>
        </w:rPr>
        <w:t>situations problèmes</w:t>
      </w:r>
      <w:r w:rsidRPr="002D27F0">
        <w:rPr>
          <w:rFonts w:ascii="Century Schoolbook" w:hAnsi="Century Schoolbook"/>
          <w:sz w:val="22"/>
          <w:szCs w:val="22"/>
        </w:rPr>
        <w:t xml:space="preserve"> permet de procéder à cet ajustement entre les représentations et la réalité. « Ces situations doivent permettre de construire un espace de réflexion autour d'un problème à résoudre et permettre à l'élève d'enrichir ses connaissances de nouvelles représentations en éliminant celles qui faisaient obstacle »</w:t>
      </w:r>
    </w:p>
    <w:p w:rsidR="00D52692" w:rsidRPr="002D27F0" w:rsidRDefault="00D52692" w:rsidP="00387F48">
      <w:pPr>
        <w:pStyle w:val="Sansinterligne"/>
        <w:ind w:left="720"/>
        <w:jc w:val="both"/>
        <w:rPr>
          <w:rFonts w:ascii="Century Schoolbook" w:hAnsi="Century Schoolbook"/>
          <w:sz w:val="22"/>
          <w:szCs w:val="22"/>
        </w:rPr>
      </w:pPr>
      <w:r w:rsidRPr="002D27F0">
        <w:rPr>
          <w:rFonts w:ascii="Century Schoolbook" w:hAnsi="Century Schoolbook"/>
          <w:sz w:val="22"/>
          <w:szCs w:val="22"/>
        </w:rPr>
        <w:t>Ces situations problèmes doivent être relativement proches de ce que l’élève sait déjà ou est censé savoir. Elles doivent permettre à l’élève de prendre conscience de ce qui lui fait défaut pour résoudre le problème qui lui est soumis</w:t>
      </w:r>
      <w:r w:rsidR="000F41B3" w:rsidRPr="002D27F0">
        <w:rPr>
          <w:rFonts w:ascii="Century Schoolbook" w:hAnsi="Century Schoolbook"/>
          <w:sz w:val="22"/>
          <w:szCs w:val="22"/>
        </w:rPr>
        <w:t xml:space="preserve"> et d’ainsi susciter le besoin de progresser en résolvant la situation problème</w:t>
      </w:r>
      <w:r w:rsidRPr="002D27F0">
        <w:rPr>
          <w:rFonts w:ascii="Century Schoolbook" w:hAnsi="Century Schoolbook"/>
          <w:sz w:val="22"/>
          <w:szCs w:val="22"/>
        </w:rPr>
        <w:t>. Elles doivent être accompagnées des outils nécessaires pour conduire l’élève de ce qu’il sait ou croyait savoir vers ce qu’il doit savoir.</w:t>
      </w:r>
    </w:p>
    <w:p w:rsidR="00D52692" w:rsidRPr="002D27F0" w:rsidRDefault="00D52692" w:rsidP="00387F48">
      <w:pPr>
        <w:pStyle w:val="Sansinterligne"/>
        <w:ind w:left="720"/>
        <w:jc w:val="both"/>
        <w:rPr>
          <w:rFonts w:ascii="Century Schoolbook" w:hAnsi="Century Schoolbook"/>
          <w:sz w:val="22"/>
          <w:szCs w:val="22"/>
        </w:rPr>
      </w:pPr>
    </w:p>
    <w:p w:rsidR="00D52692" w:rsidRPr="002D27F0" w:rsidRDefault="00D52692" w:rsidP="00387F48">
      <w:pPr>
        <w:pStyle w:val="Sansinterligne"/>
        <w:numPr>
          <w:ilvl w:val="0"/>
          <w:numId w:val="2"/>
        </w:numPr>
        <w:jc w:val="both"/>
        <w:rPr>
          <w:rFonts w:ascii="Century Schoolbook" w:hAnsi="Century Schoolbook"/>
          <w:sz w:val="22"/>
          <w:szCs w:val="22"/>
        </w:rPr>
      </w:pPr>
      <w:r w:rsidRPr="002D27F0">
        <w:rPr>
          <w:rFonts w:ascii="Century Schoolbook" w:hAnsi="Century Schoolbook"/>
          <w:b/>
          <w:sz w:val="22"/>
          <w:szCs w:val="22"/>
        </w:rPr>
        <w:t>Les outils nécessaires</w:t>
      </w:r>
      <w:r w:rsidR="00387F48" w:rsidRPr="002D27F0">
        <w:rPr>
          <w:rFonts w:ascii="Century Schoolbook" w:hAnsi="Century Schoolbook"/>
          <w:sz w:val="22"/>
          <w:szCs w:val="22"/>
        </w:rPr>
        <w:t xml:space="preserve"> peuvent être très différents</w:t>
      </w:r>
      <w:r w:rsidRPr="002D27F0">
        <w:rPr>
          <w:rFonts w:ascii="Century Schoolbook" w:hAnsi="Century Schoolbook"/>
          <w:sz w:val="22"/>
          <w:szCs w:val="22"/>
        </w:rPr>
        <w:t xml:space="preserve"> : un corpus de documents, des fiches outils, des liens internet pour l’aspect matériel, un travail de groupe en pédagogie différenciée, un travail en binôme </w:t>
      </w:r>
      <w:r w:rsidR="00D0012B" w:rsidRPr="002D27F0">
        <w:rPr>
          <w:rFonts w:ascii="Century Schoolbook" w:hAnsi="Century Schoolbook"/>
          <w:sz w:val="22"/>
          <w:szCs w:val="22"/>
        </w:rPr>
        <w:t>de compétences complémentaires, des interventions du professeur pour l’aspect organisationnel.</w:t>
      </w:r>
    </w:p>
    <w:p w:rsidR="00D0012B" w:rsidRPr="002D27F0" w:rsidRDefault="00D0012B" w:rsidP="00387F48">
      <w:pPr>
        <w:pStyle w:val="Sansinterligne"/>
        <w:ind w:left="720"/>
        <w:jc w:val="both"/>
        <w:rPr>
          <w:rFonts w:ascii="Century Schoolbook" w:hAnsi="Century Schoolbook"/>
          <w:sz w:val="22"/>
          <w:szCs w:val="22"/>
        </w:rPr>
      </w:pPr>
      <w:r w:rsidRPr="002D27F0">
        <w:rPr>
          <w:rFonts w:ascii="Century Schoolbook" w:hAnsi="Century Schoolbook"/>
          <w:sz w:val="22"/>
          <w:szCs w:val="22"/>
        </w:rPr>
        <w:t xml:space="preserve">Un outil spécifique consiste à familiariser l’élève avec </w:t>
      </w:r>
      <w:r w:rsidRPr="002D27F0">
        <w:rPr>
          <w:rFonts w:ascii="Century Schoolbook" w:hAnsi="Century Schoolbook"/>
          <w:b/>
          <w:sz w:val="22"/>
          <w:szCs w:val="22"/>
        </w:rPr>
        <w:t>l’analyse réflexive</w:t>
      </w:r>
      <w:r w:rsidRPr="002D27F0">
        <w:rPr>
          <w:rFonts w:ascii="Century Schoolbook" w:hAnsi="Century Schoolbook"/>
          <w:sz w:val="22"/>
          <w:szCs w:val="22"/>
        </w:rPr>
        <w:t xml:space="preserve"> de ses propres fonctionnements intellectuels – ce que la psychologie cognitive appelle la </w:t>
      </w:r>
      <w:r w:rsidRPr="002D27F0">
        <w:rPr>
          <w:rFonts w:ascii="Century Schoolbook" w:hAnsi="Century Schoolbook"/>
          <w:b/>
          <w:sz w:val="22"/>
          <w:szCs w:val="22"/>
        </w:rPr>
        <w:t>métacognition.</w:t>
      </w:r>
      <w:r w:rsidRPr="002D27F0">
        <w:rPr>
          <w:rFonts w:ascii="Century Schoolbook" w:hAnsi="Century Schoolbook"/>
          <w:sz w:val="22"/>
          <w:szCs w:val="22"/>
        </w:rPr>
        <w:t xml:space="preserve"> Cette pratique doit permettre à l’élève de repérer comment il aborde une difficulté, quelles sont ses pierres d’achoppement (sur le plan de sa manière d’apprendre, de mémoriser, sur le plan de son organisation, de la gestion de son stress, de ses émotions, de carences sur le plan des savoirs, ou des connaissances procédurales. </w:t>
      </w:r>
    </w:p>
    <w:p w:rsidR="00EB129B" w:rsidRPr="002D27F0" w:rsidRDefault="00EB129B" w:rsidP="00387F48">
      <w:pPr>
        <w:pStyle w:val="Sansinterligne"/>
        <w:ind w:left="720"/>
        <w:jc w:val="both"/>
        <w:rPr>
          <w:rFonts w:ascii="Century Schoolbook" w:hAnsi="Century Schoolbook"/>
          <w:sz w:val="22"/>
          <w:szCs w:val="22"/>
        </w:rPr>
      </w:pPr>
    </w:p>
    <w:p w:rsidR="006F1C83" w:rsidRDefault="006F1C83" w:rsidP="00387F48">
      <w:pPr>
        <w:pStyle w:val="Sansinterligne"/>
        <w:ind w:left="426"/>
        <w:jc w:val="both"/>
        <w:rPr>
          <w:rFonts w:ascii="Century Schoolbook" w:hAnsi="Century Schoolbook"/>
          <w:sz w:val="22"/>
          <w:szCs w:val="22"/>
        </w:rPr>
      </w:pPr>
    </w:p>
    <w:p w:rsidR="00D0012B" w:rsidRDefault="00D0012B" w:rsidP="00387F48">
      <w:pPr>
        <w:pStyle w:val="Sansinterligne"/>
        <w:ind w:left="426"/>
        <w:jc w:val="both"/>
        <w:rPr>
          <w:rFonts w:ascii="Century Schoolbook" w:hAnsi="Century Schoolbook"/>
          <w:sz w:val="22"/>
          <w:szCs w:val="22"/>
        </w:rPr>
      </w:pPr>
      <w:r w:rsidRPr="002D27F0">
        <w:rPr>
          <w:rFonts w:ascii="Century Schoolbook" w:hAnsi="Century Schoolbook"/>
          <w:sz w:val="22"/>
          <w:szCs w:val="22"/>
        </w:rPr>
        <w:lastRenderedPageBreak/>
        <w:t>Pour en savoir plus :</w:t>
      </w:r>
    </w:p>
    <w:p w:rsidR="00641562" w:rsidRPr="002D27F0" w:rsidRDefault="00641562" w:rsidP="00387F48">
      <w:pPr>
        <w:pStyle w:val="Sansinterligne"/>
        <w:ind w:left="426"/>
        <w:jc w:val="both"/>
        <w:rPr>
          <w:rFonts w:ascii="Century Schoolbook" w:hAnsi="Century Schoolbook"/>
          <w:sz w:val="22"/>
          <w:szCs w:val="22"/>
        </w:rPr>
      </w:pPr>
    </w:p>
    <w:p w:rsidR="00D0012B" w:rsidRPr="002D27F0" w:rsidRDefault="00D0012B" w:rsidP="00387F48">
      <w:pPr>
        <w:pStyle w:val="Sansinterligne"/>
        <w:ind w:left="426"/>
        <w:jc w:val="both"/>
        <w:rPr>
          <w:rFonts w:ascii="Century Schoolbook" w:hAnsi="Century Schoolbook"/>
          <w:sz w:val="22"/>
          <w:szCs w:val="22"/>
        </w:rPr>
      </w:pPr>
      <w:r w:rsidRPr="002D27F0">
        <w:rPr>
          <w:rFonts w:ascii="Century Schoolbook" w:hAnsi="Century Schoolbook"/>
          <w:sz w:val="22"/>
          <w:szCs w:val="22"/>
        </w:rPr>
        <w:t xml:space="preserve">- Michel </w:t>
      </w:r>
      <w:proofErr w:type="spellStart"/>
      <w:r w:rsidRPr="002D27F0">
        <w:rPr>
          <w:rFonts w:ascii="Century Schoolbook" w:hAnsi="Century Schoolbook"/>
          <w:sz w:val="22"/>
          <w:szCs w:val="22"/>
        </w:rPr>
        <w:t>Grangeat</w:t>
      </w:r>
      <w:proofErr w:type="spellEnd"/>
      <w:r w:rsidRPr="002D27F0">
        <w:rPr>
          <w:rFonts w:ascii="Century Schoolbook" w:hAnsi="Century Schoolbook"/>
          <w:sz w:val="22"/>
          <w:szCs w:val="22"/>
        </w:rPr>
        <w:t xml:space="preserve"> (</w:t>
      </w:r>
      <w:proofErr w:type="spellStart"/>
      <w:r w:rsidRPr="002D27F0">
        <w:rPr>
          <w:rFonts w:ascii="Century Schoolbook" w:hAnsi="Century Schoolbook"/>
          <w:sz w:val="22"/>
          <w:szCs w:val="22"/>
        </w:rPr>
        <w:t>coord</w:t>
      </w:r>
      <w:proofErr w:type="spellEnd"/>
      <w:r w:rsidRPr="002D27F0">
        <w:rPr>
          <w:rFonts w:ascii="Century Schoolbook" w:hAnsi="Century Schoolbook"/>
          <w:sz w:val="22"/>
          <w:szCs w:val="22"/>
        </w:rPr>
        <w:t xml:space="preserve">.), Philippe </w:t>
      </w:r>
      <w:proofErr w:type="spellStart"/>
      <w:r w:rsidRPr="002D27F0">
        <w:rPr>
          <w:rFonts w:ascii="Century Schoolbook" w:hAnsi="Century Schoolbook"/>
          <w:sz w:val="22"/>
          <w:szCs w:val="22"/>
        </w:rPr>
        <w:t>Meirieu</w:t>
      </w:r>
      <w:proofErr w:type="spellEnd"/>
      <w:r w:rsidRPr="002D27F0">
        <w:rPr>
          <w:rFonts w:ascii="Century Schoolbook" w:hAnsi="Century Schoolbook"/>
          <w:sz w:val="22"/>
          <w:szCs w:val="22"/>
        </w:rPr>
        <w:t xml:space="preserve"> (</w:t>
      </w:r>
      <w:proofErr w:type="spellStart"/>
      <w:r w:rsidRPr="002D27F0">
        <w:rPr>
          <w:rFonts w:ascii="Century Schoolbook" w:hAnsi="Century Schoolbook"/>
          <w:sz w:val="22"/>
          <w:szCs w:val="22"/>
        </w:rPr>
        <w:t>dir</w:t>
      </w:r>
      <w:proofErr w:type="spellEnd"/>
      <w:r w:rsidRPr="002D27F0">
        <w:rPr>
          <w:rFonts w:ascii="Century Schoolbook" w:hAnsi="Century Schoolbook"/>
          <w:sz w:val="22"/>
          <w:szCs w:val="22"/>
        </w:rPr>
        <w:t xml:space="preserve">.), </w:t>
      </w:r>
      <w:r w:rsidRPr="002D27F0">
        <w:rPr>
          <w:rFonts w:ascii="Century Schoolbook" w:hAnsi="Century Schoolbook"/>
          <w:i/>
          <w:iCs/>
          <w:sz w:val="22"/>
          <w:szCs w:val="22"/>
        </w:rPr>
        <w:t>La Métacognition, une aide au travail des élèves</w:t>
      </w:r>
      <w:r w:rsidRPr="002D27F0">
        <w:rPr>
          <w:rFonts w:ascii="Century Schoolbook" w:hAnsi="Century Schoolbook"/>
          <w:sz w:val="22"/>
          <w:szCs w:val="22"/>
        </w:rPr>
        <w:t>, ESF, 1997.</w:t>
      </w:r>
    </w:p>
    <w:p w:rsidR="00D0012B" w:rsidRPr="002D27F0" w:rsidRDefault="00D0012B" w:rsidP="00387F48">
      <w:pPr>
        <w:pStyle w:val="Sansinterligne"/>
        <w:ind w:left="426"/>
        <w:jc w:val="both"/>
        <w:rPr>
          <w:rFonts w:ascii="Century Schoolbook" w:hAnsi="Century Schoolbook"/>
          <w:sz w:val="22"/>
          <w:szCs w:val="22"/>
        </w:rPr>
      </w:pPr>
      <w:r w:rsidRPr="002D27F0">
        <w:rPr>
          <w:rFonts w:ascii="Century Schoolbook" w:hAnsi="Century Schoolbook"/>
          <w:sz w:val="22"/>
          <w:szCs w:val="22"/>
        </w:rPr>
        <w:t xml:space="preserve">- Louise </w:t>
      </w:r>
      <w:proofErr w:type="spellStart"/>
      <w:r w:rsidRPr="002D27F0">
        <w:rPr>
          <w:rFonts w:ascii="Century Schoolbook" w:hAnsi="Century Schoolbook"/>
          <w:sz w:val="22"/>
          <w:szCs w:val="22"/>
        </w:rPr>
        <w:t>Lafortune</w:t>
      </w:r>
      <w:proofErr w:type="spellEnd"/>
      <w:r w:rsidRPr="002D27F0">
        <w:rPr>
          <w:rFonts w:ascii="Century Schoolbook" w:hAnsi="Century Schoolbook"/>
          <w:sz w:val="22"/>
          <w:szCs w:val="22"/>
        </w:rPr>
        <w:t xml:space="preserve"> et Lise Saint-Pierre, </w:t>
      </w:r>
      <w:r w:rsidRPr="002D27F0">
        <w:rPr>
          <w:rFonts w:ascii="Century Schoolbook" w:hAnsi="Century Schoolbook"/>
          <w:i/>
          <w:iCs/>
          <w:sz w:val="22"/>
          <w:szCs w:val="22"/>
        </w:rPr>
        <w:t>L'Affectivité et la Métacognition dans la classe</w:t>
      </w:r>
      <w:r w:rsidRPr="002D27F0">
        <w:rPr>
          <w:rFonts w:ascii="Century Schoolbook" w:hAnsi="Century Schoolbook"/>
          <w:sz w:val="22"/>
          <w:szCs w:val="22"/>
        </w:rPr>
        <w:t>, Les éditions Logiques, 1996.</w:t>
      </w:r>
    </w:p>
    <w:p w:rsidR="00D0012B" w:rsidRPr="002D27F0" w:rsidRDefault="00D0012B" w:rsidP="00387F48">
      <w:pPr>
        <w:pStyle w:val="Sansinterligne"/>
        <w:ind w:left="720"/>
        <w:jc w:val="both"/>
        <w:rPr>
          <w:rFonts w:ascii="Century Schoolbook" w:hAnsi="Century Schoolbook"/>
          <w:sz w:val="22"/>
          <w:szCs w:val="22"/>
        </w:rPr>
      </w:pPr>
    </w:p>
    <w:p w:rsidR="00D0012B" w:rsidRPr="002D27F0" w:rsidRDefault="00D0012B" w:rsidP="00387F48">
      <w:pPr>
        <w:pStyle w:val="Sansinterligne"/>
        <w:numPr>
          <w:ilvl w:val="0"/>
          <w:numId w:val="2"/>
        </w:numPr>
        <w:jc w:val="both"/>
        <w:rPr>
          <w:rFonts w:ascii="Century Schoolbook" w:hAnsi="Century Schoolbook"/>
          <w:sz w:val="22"/>
          <w:szCs w:val="22"/>
        </w:rPr>
      </w:pPr>
      <w:r w:rsidRPr="002D27F0">
        <w:rPr>
          <w:rFonts w:ascii="Century Schoolbook" w:hAnsi="Century Schoolbook"/>
          <w:b/>
          <w:sz w:val="22"/>
          <w:szCs w:val="22"/>
        </w:rPr>
        <w:t xml:space="preserve">La </w:t>
      </w:r>
      <w:proofErr w:type="spellStart"/>
      <w:r w:rsidRPr="002D27F0">
        <w:rPr>
          <w:rFonts w:ascii="Century Schoolbook" w:hAnsi="Century Schoolbook"/>
          <w:b/>
          <w:sz w:val="22"/>
          <w:szCs w:val="22"/>
        </w:rPr>
        <w:t>transférabilité</w:t>
      </w:r>
      <w:proofErr w:type="spellEnd"/>
      <w:r w:rsidRPr="002D27F0">
        <w:rPr>
          <w:rFonts w:ascii="Century Schoolbook" w:hAnsi="Century Schoolbook"/>
          <w:sz w:val="22"/>
          <w:szCs w:val="22"/>
        </w:rPr>
        <w:t xml:space="preserve"> des apprentissages : </w:t>
      </w:r>
    </w:p>
    <w:p w:rsidR="00D52692" w:rsidRPr="002D27F0" w:rsidRDefault="00D0012B" w:rsidP="00387F48">
      <w:pPr>
        <w:pStyle w:val="Sansinterligne"/>
        <w:ind w:left="720"/>
        <w:jc w:val="both"/>
        <w:rPr>
          <w:rFonts w:ascii="Century Schoolbook" w:hAnsi="Century Schoolbook"/>
          <w:sz w:val="22"/>
          <w:szCs w:val="22"/>
        </w:rPr>
      </w:pPr>
      <w:r w:rsidRPr="002D27F0">
        <w:rPr>
          <w:rFonts w:ascii="Century Schoolbook" w:hAnsi="Century Schoolbook"/>
          <w:sz w:val="22"/>
          <w:szCs w:val="22"/>
        </w:rPr>
        <w:t>« </w:t>
      </w:r>
      <w:r w:rsidR="00D52692" w:rsidRPr="002D27F0">
        <w:rPr>
          <w:rFonts w:ascii="Century Schoolbook" w:hAnsi="Century Schoolbook"/>
          <w:b/>
          <w:bCs/>
          <w:sz w:val="22"/>
          <w:szCs w:val="22"/>
        </w:rPr>
        <w:t>T</w:t>
      </w:r>
      <w:r w:rsidR="00D52692" w:rsidRPr="002D27F0">
        <w:rPr>
          <w:rFonts w:ascii="Century Schoolbook" w:hAnsi="Century Schoolbook"/>
          <w:sz w:val="22"/>
          <w:szCs w:val="22"/>
        </w:rPr>
        <w:t>ransférer ses apprentissages, c'est savoir utiliser dans un nouveau contexte des connaissances acquises ultérieurement.</w:t>
      </w:r>
      <w:r w:rsidRPr="002D27F0">
        <w:rPr>
          <w:rFonts w:ascii="Century Schoolbook" w:hAnsi="Century Schoolbook"/>
          <w:sz w:val="22"/>
          <w:szCs w:val="22"/>
        </w:rPr>
        <w:t> ».</w:t>
      </w:r>
      <w:r w:rsidR="00D52692" w:rsidRPr="002D27F0">
        <w:rPr>
          <w:rFonts w:ascii="Century Schoolbook" w:hAnsi="Century Schoolbook"/>
          <w:sz w:val="22"/>
          <w:szCs w:val="22"/>
        </w:rPr>
        <w:t xml:space="preserve"> Les recherches cognitivistes prouvent </w:t>
      </w:r>
      <w:r w:rsidRPr="002D27F0">
        <w:rPr>
          <w:rFonts w:ascii="Century Schoolbook" w:hAnsi="Century Schoolbook"/>
          <w:sz w:val="22"/>
          <w:szCs w:val="22"/>
        </w:rPr>
        <w:t>qu’i</w:t>
      </w:r>
      <w:r w:rsidR="00B52717">
        <w:rPr>
          <w:rFonts w:ascii="Century Schoolbook" w:hAnsi="Century Schoolbook"/>
          <w:sz w:val="22"/>
          <w:szCs w:val="22"/>
        </w:rPr>
        <w:t>l</w:t>
      </w:r>
      <w:r w:rsidRPr="002D27F0">
        <w:rPr>
          <w:rFonts w:ascii="Century Schoolbook" w:hAnsi="Century Schoolbook"/>
          <w:sz w:val="22"/>
          <w:szCs w:val="22"/>
        </w:rPr>
        <w:t xml:space="preserve"> n’</w:t>
      </w:r>
      <w:r w:rsidR="00E7361E" w:rsidRPr="002D27F0">
        <w:rPr>
          <w:rFonts w:ascii="Century Schoolbook" w:hAnsi="Century Schoolbook"/>
          <w:sz w:val="22"/>
          <w:szCs w:val="22"/>
        </w:rPr>
        <w:t xml:space="preserve">y a de </w:t>
      </w:r>
      <w:proofErr w:type="spellStart"/>
      <w:r w:rsidR="00E7361E" w:rsidRPr="002D27F0">
        <w:rPr>
          <w:rFonts w:ascii="Century Schoolbook" w:hAnsi="Century Schoolbook"/>
          <w:sz w:val="22"/>
          <w:szCs w:val="22"/>
        </w:rPr>
        <w:t>transférabilité</w:t>
      </w:r>
      <w:proofErr w:type="spellEnd"/>
      <w:r w:rsidR="00E7361E" w:rsidRPr="002D27F0">
        <w:rPr>
          <w:rFonts w:ascii="Century Schoolbook" w:hAnsi="Century Schoolbook"/>
          <w:sz w:val="22"/>
          <w:szCs w:val="22"/>
        </w:rPr>
        <w:t xml:space="preserve"> que </w:t>
      </w:r>
      <w:r w:rsidR="00B52717">
        <w:rPr>
          <w:rFonts w:ascii="Century Schoolbook" w:hAnsi="Century Schoolbook"/>
          <w:sz w:val="22"/>
          <w:szCs w:val="22"/>
        </w:rPr>
        <w:t>si</w:t>
      </w:r>
      <w:r w:rsidR="00E7361E" w:rsidRPr="002D27F0">
        <w:rPr>
          <w:rFonts w:ascii="Century Schoolbook" w:hAnsi="Century Schoolbook"/>
          <w:sz w:val="22"/>
          <w:szCs w:val="22"/>
        </w:rPr>
        <w:t xml:space="preserve"> l’élève est placé dans une situation </w:t>
      </w:r>
      <w:proofErr w:type="spellStart"/>
      <w:r w:rsidR="00E7361E" w:rsidRPr="002D27F0">
        <w:rPr>
          <w:rFonts w:ascii="Century Schoolbook" w:hAnsi="Century Schoolbook"/>
          <w:sz w:val="22"/>
          <w:szCs w:val="22"/>
        </w:rPr>
        <w:t>contextualisée</w:t>
      </w:r>
      <w:proofErr w:type="spellEnd"/>
      <w:r w:rsidR="00E7361E" w:rsidRPr="002D27F0">
        <w:rPr>
          <w:rFonts w:ascii="Century Schoolbook" w:hAnsi="Century Schoolbook"/>
          <w:sz w:val="22"/>
          <w:szCs w:val="22"/>
        </w:rPr>
        <w:t xml:space="preserve"> – la mise en situation problème évoquée au §2. En effet, «  </w:t>
      </w:r>
      <w:r w:rsidR="00D52692" w:rsidRPr="002D27F0">
        <w:rPr>
          <w:rFonts w:ascii="Century Schoolbook" w:hAnsi="Century Schoolbook"/>
          <w:b/>
          <w:bCs/>
          <w:sz w:val="22"/>
          <w:szCs w:val="22"/>
        </w:rPr>
        <w:t xml:space="preserve">Tout un ensemble de stratégies cognitives interagissent dans le transfert </w:t>
      </w:r>
      <w:r w:rsidR="00D52692" w:rsidRPr="002D27F0">
        <w:rPr>
          <w:rFonts w:ascii="Century Schoolbook" w:hAnsi="Century Schoolbook"/>
          <w:sz w:val="22"/>
          <w:szCs w:val="22"/>
        </w:rPr>
        <w:t>: accessibilité aux connaissances et aux compétences dans la mémoire à long terme, évaluation de leur validité pour les mettre en correspondance avec la situation nouvelle, adaptation des éléments qui ne se correspondent pas, etc.</w:t>
      </w:r>
      <w:r w:rsidR="00E7361E" w:rsidRPr="002D27F0">
        <w:rPr>
          <w:rFonts w:ascii="Century Schoolbook" w:hAnsi="Century Schoolbook"/>
          <w:sz w:val="22"/>
          <w:szCs w:val="22"/>
        </w:rPr>
        <w:t> </w:t>
      </w:r>
    </w:p>
    <w:p w:rsidR="00E7361E" w:rsidRPr="002D27F0" w:rsidRDefault="00E7361E" w:rsidP="00387F48">
      <w:pPr>
        <w:pStyle w:val="Sansinterligne"/>
        <w:ind w:left="720"/>
        <w:jc w:val="both"/>
        <w:rPr>
          <w:rFonts w:ascii="Century Schoolbook" w:hAnsi="Century Schoolbook"/>
          <w:sz w:val="22"/>
          <w:szCs w:val="22"/>
        </w:rPr>
      </w:pPr>
    </w:p>
    <w:p w:rsidR="00D52692" w:rsidRPr="002D27F0" w:rsidRDefault="00D52692" w:rsidP="00387F48">
      <w:pPr>
        <w:pStyle w:val="Sansinterligne"/>
        <w:ind w:left="426"/>
        <w:jc w:val="both"/>
        <w:rPr>
          <w:rFonts w:ascii="Century Schoolbook" w:hAnsi="Century Schoolbook"/>
          <w:sz w:val="22"/>
          <w:szCs w:val="22"/>
        </w:rPr>
      </w:pPr>
      <w:r w:rsidRPr="002D27F0">
        <w:rPr>
          <w:rFonts w:ascii="Century Schoolbook" w:hAnsi="Century Schoolbook"/>
          <w:sz w:val="22"/>
          <w:szCs w:val="22"/>
        </w:rPr>
        <w:t>Pour en savoir plus :</w:t>
      </w:r>
    </w:p>
    <w:p w:rsidR="00D52692" w:rsidRPr="002D27F0" w:rsidRDefault="00D52692" w:rsidP="00387F48">
      <w:pPr>
        <w:pStyle w:val="Sansinterligne"/>
        <w:ind w:left="426"/>
        <w:jc w:val="both"/>
        <w:rPr>
          <w:rFonts w:ascii="Century Schoolbook" w:hAnsi="Century Schoolbook"/>
          <w:sz w:val="22"/>
          <w:szCs w:val="22"/>
        </w:rPr>
      </w:pPr>
      <w:r w:rsidRPr="002D27F0">
        <w:rPr>
          <w:rFonts w:ascii="Century Schoolbook" w:hAnsi="Century Schoolbook"/>
          <w:sz w:val="22"/>
          <w:szCs w:val="22"/>
        </w:rPr>
        <w:t xml:space="preserve">- Jacques Tardif, </w:t>
      </w:r>
      <w:r w:rsidRPr="002D27F0">
        <w:rPr>
          <w:rFonts w:ascii="Century Schoolbook" w:hAnsi="Century Schoolbook"/>
          <w:i/>
          <w:iCs/>
          <w:sz w:val="22"/>
          <w:szCs w:val="22"/>
        </w:rPr>
        <w:t xml:space="preserve">Le Transfert des apprentissages, </w:t>
      </w:r>
      <w:r w:rsidRPr="002D27F0">
        <w:rPr>
          <w:rFonts w:ascii="Century Schoolbook" w:hAnsi="Century Schoolbook"/>
          <w:sz w:val="22"/>
          <w:szCs w:val="22"/>
        </w:rPr>
        <w:t>Les éditions Logiques, 1999.</w:t>
      </w:r>
    </w:p>
    <w:p w:rsidR="00D52692" w:rsidRPr="002D27F0" w:rsidRDefault="00D52692" w:rsidP="00387F48">
      <w:pPr>
        <w:pStyle w:val="Sansinterligne"/>
        <w:ind w:left="426"/>
        <w:jc w:val="both"/>
        <w:rPr>
          <w:rFonts w:ascii="Century Schoolbook" w:hAnsi="Century Schoolbook"/>
          <w:sz w:val="22"/>
          <w:szCs w:val="22"/>
        </w:rPr>
      </w:pPr>
      <w:r w:rsidRPr="002D27F0">
        <w:rPr>
          <w:rFonts w:ascii="Century Schoolbook" w:hAnsi="Century Schoolbook"/>
          <w:sz w:val="22"/>
          <w:szCs w:val="22"/>
        </w:rPr>
        <w:t xml:space="preserve">- Lise Poirier </w:t>
      </w:r>
      <w:proofErr w:type="spellStart"/>
      <w:r w:rsidRPr="002D27F0">
        <w:rPr>
          <w:rFonts w:ascii="Century Schoolbook" w:hAnsi="Century Schoolbook"/>
          <w:sz w:val="22"/>
          <w:szCs w:val="22"/>
        </w:rPr>
        <w:t>Proulx</w:t>
      </w:r>
      <w:proofErr w:type="spellEnd"/>
      <w:r w:rsidRPr="002D27F0">
        <w:rPr>
          <w:rFonts w:ascii="Century Schoolbook" w:hAnsi="Century Schoolbook"/>
          <w:sz w:val="22"/>
          <w:szCs w:val="22"/>
        </w:rPr>
        <w:t xml:space="preserve">, </w:t>
      </w:r>
      <w:r w:rsidRPr="002D27F0">
        <w:rPr>
          <w:rFonts w:ascii="Century Schoolbook" w:hAnsi="Century Schoolbook"/>
          <w:i/>
          <w:iCs/>
          <w:sz w:val="22"/>
          <w:szCs w:val="22"/>
        </w:rPr>
        <w:t>La Résolution de problèmes en enseignement</w:t>
      </w:r>
      <w:r w:rsidRPr="002D27F0">
        <w:rPr>
          <w:rFonts w:ascii="Century Schoolbook" w:hAnsi="Century Schoolbook"/>
          <w:sz w:val="22"/>
          <w:szCs w:val="22"/>
        </w:rPr>
        <w:t>, De Boeck université, 1999.</w:t>
      </w:r>
    </w:p>
    <w:p w:rsidR="00D52692" w:rsidRPr="002D27F0" w:rsidRDefault="00D52692" w:rsidP="00387F48">
      <w:pPr>
        <w:jc w:val="both"/>
        <w:rPr>
          <w:rFonts w:ascii="Century Schoolbook" w:hAnsi="Century Schoolbook"/>
          <w:sz w:val="22"/>
          <w:szCs w:val="22"/>
        </w:rPr>
      </w:pPr>
    </w:p>
    <w:p w:rsidR="008733C7" w:rsidRPr="002D27F0" w:rsidRDefault="008733C7" w:rsidP="00387F48">
      <w:pPr>
        <w:jc w:val="both"/>
        <w:rPr>
          <w:rFonts w:ascii="Century Schoolbook" w:hAnsi="Century Schoolbook"/>
          <w:sz w:val="22"/>
          <w:szCs w:val="22"/>
        </w:rPr>
      </w:pPr>
    </w:p>
    <w:p w:rsidR="0099364B" w:rsidRPr="002D27F0" w:rsidRDefault="00E7361E" w:rsidP="00387F48">
      <w:pPr>
        <w:pStyle w:val="Paragraphedeliste"/>
        <w:numPr>
          <w:ilvl w:val="0"/>
          <w:numId w:val="3"/>
        </w:numPr>
        <w:jc w:val="both"/>
        <w:rPr>
          <w:rFonts w:ascii="Century Schoolbook" w:hAnsi="Century Schoolbook"/>
          <w:b/>
          <w:sz w:val="22"/>
          <w:szCs w:val="22"/>
        </w:rPr>
      </w:pPr>
      <w:r w:rsidRPr="002D27F0">
        <w:rPr>
          <w:rFonts w:ascii="Century Schoolbook" w:hAnsi="Century Schoolbook"/>
          <w:b/>
          <w:sz w:val="22"/>
          <w:szCs w:val="22"/>
        </w:rPr>
        <w:t>Concrètement !</w:t>
      </w:r>
    </w:p>
    <w:p w:rsidR="008733C7" w:rsidRPr="002D27F0" w:rsidRDefault="008733C7" w:rsidP="00387F48">
      <w:pPr>
        <w:pStyle w:val="Paragraphedeliste"/>
        <w:jc w:val="both"/>
        <w:rPr>
          <w:rFonts w:ascii="Century Schoolbook" w:hAnsi="Century Schoolbook"/>
          <w:b/>
          <w:sz w:val="22"/>
          <w:szCs w:val="22"/>
        </w:rPr>
      </w:pPr>
    </w:p>
    <w:p w:rsidR="00AD1007" w:rsidRPr="002D27F0" w:rsidRDefault="00E7361E" w:rsidP="00387F48">
      <w:pPr>
        <w:jc w:val="both"/>
        <w:rPr>
          <w:rFonts w:ascii="Century Schoolbook" w:hAnsi="Century Schoolbook"/>
          <w:sz w:val="22"/>
          <w:szCs w:val="22"/>
        </w:rPr>
      </w:pPr>
      <w:r w:rsidRPr="002D27F0">
        <w:rPr>
          <w:rFonts w:ascii="Century Schoolbook" w:hAnsi="Century Schoolbook"/>
          <w:sz w:val="22"/>
          <w:szCs w:val="22"/>
        </w:rPr>
        <w:t xml:space="preserve">La préparation </w:t>
      </w:r>
      <w:r w:rsidR="00AD1007" w:rsidRPr="002D27F0">
        <w:rPr>
          <w:rFonts w:ascii="Century Schoolbook" w:hAnsi="Century Schoolbook"/>
          <w:sz w:val="22"/>
          <w:szCs w:val="22"/>
        </w:rPr>
        <w:t xml:space="preserve">et le déroulement </w:t>
      </w:r>
      <w:r w:rsidRPr="002D27F0">
        <w:rPr>
          <w:rFonts w:ascii="Century Schoolbook" w:hAnsi="Century Schoolbook"/>
          <w:sz w:val="22"/>
          <w:szCs w:val="22"/>
        </w:rPr>
        <w:t>d’une séquence pédagogique doit s’organiser en intégrant tous ces paramètres</w:t>
      </w:r>
      <w:r w:rsidR="002F1E30" w:rsidRPr="002D27F0">
        <w:rPr>
          <w:rFonts w:ascii="Century Schoolbook" w:hAnsi="Century Schoolbook"/>
          <w:sz w:val="22"/>
          <w:szCs w:val="22"/>
        </w:rPr>
        <w:t>.</w:t>
      </w:r>
    </w:p>
    <w:p w:rsidR="00AD1007" w:rsidRPr="002D27F0" w:rsidRDefault="00AD1007" w:rsidP="00387F48">
      <w:pPr>
        <w:jc w:val="both"/>
        <w:rPr>
          <w:rFonts w:ascii="Century Schoolbook" w:hAnsi="Century Schoolbook"/>
          <w:sz w:val="22"/>
          <w:szCs w:val="22"/>
        </w:rPr>
      </w:pPr>
    </w:p>
    <w:p w:rsidR="00E7361E" w:rsidRPr="002D27F0" w:rsidRDefault="002F1E30" w:rsidP="00387F48">
      <w:pPr>
        <w:jc w:val="both"/>
        <w:rPr>
          <w:rFonts w:ascii="Century Schoolbook" w:hAnsi="Century Schoolbook"/>
          <w:sz w:val="22"/>
          <w:szCs w:val="22"/>
        </w:rPr>
      </w:pPr>
      <w:r w:rsidRPr="002D27F0">
        <w:rPr>
          <w:rFonts w:ascii="Century Schoolbook" w:hAnsi="Century Schoolbook"/>
          <w:sz w:val="22"/>
          <w:szCs w:val="22"/>
        </w:rPr>
        <w:t xml:space="preserve">Le cœur de la séquence réside dans </w:t>
      </w:r>
      <w:r w:rsidRPr="002D27F0">
        <w:rPr>
          <w:rFonts w:ascii="Century Schoolbook" w:hAnsi="Century Schoolbook"/>
          <w:b/>
          <w:sz w:val="22"/>
          <w:szCs w:val="22"/>
        </w:rPr>
        <w:t>l’élaboration d’une situation problème</w:t>
      </w:r>
      <w:r w:rsidRPr="002D27F0">
        <w:rPr>
          <w:rFonts w:ascii="Century Schoolbook" w:hAnsi="Century Schoolbook"/>
          <w:sz w:val="22"/>
          <w:szCs w:val="22"/>
        </w:rPr>
        <w:t xml:space="preserve"> telle qu’elle permette l’acquisition des compétences telles qu’elles sont définies dans le programme/le référentiel.</w:t>
      </w:r>
      <w:r w:rsidR="00AD1007" w:rsidRPr="002D27F0">
        <w:rPr>
          <w:rFonts w:ascii="Century Schoolbook" w:hAnsi="Century Schoolbook"/>
          <w:sz w:val="22"/>
          <w:szCs w:val="22"/>
        </w:rPr>
        <w:t xml:space="preserve"> Il est donc essentiel de travailler chaque séquence pédagogique avec le programme/ le référentiel sous les yeux ; le  manuel devra être utilisé sous cette contrainte : être au service de son intention pédagogique.</w:t>
      </w:r>
    </w:p>
    <w:p w:rsidR="00AD1007" w:rsidRPr="002D27F0" w:rsidRDefault="00AD1007" w:rsidP="00387F48">
      <w:pPr>
        <w:jc w:val="both"/>
        <w:rPr>
          <w:rFonts w:ascii="Century Schoolbook" w:hAnsi="Century Schoolbook"/>
          <w:sz w:val="22"/>
          <w:szCs w:val="22"/>
        </w:rPr>
      </w:pPr>
    </w:p>
    <w:p w:rsidR="002F1E30" w:rsidRPr="002D27F0" w:rsidRDefault="002F1E30" w:rsidP="00387F48">
      <w:pPr>
        <w:jc w:val="both"/>
        <w:rPr>
          <w:rFonts w:ascii="Century Schoolbook" w:hAnsi="Century Schoolbook"/>
          <w:sz w:val="22"/>
          <w:szCs w:val="22"/>
        </w:rPr>
      </w:pPr>
      <w:r w:rsidRPr="002D27F0">
        <w:rPr>
          <w:rFonts w:ascii="Century Schoolbook" w:hAnsi="Century Schoolbook"/>
          <w:sz w:val="22"/>
          <w:szCs w:val="22"/>
        </w:rPr>
        <w:t xml:space="preserve">Le démarrage de la séquence doit commencer par offrir à chaque élève la possibilité de faire le point sur </w:t>
      </w:r>
      <w:r w:rsidRPr="002D27F0">
        <w:rPr>
          <w:rFonts w:ascii="Century Schoolbook" w:hAnsi="Century Schoolbook"/>
          <w:b/>
          <w:sz w:val="22"/>
          <w:szCs w:val="22"/>
        </w:rPr>
        <w:t xml:space="preserve">ses représentations. </w:t>
      </w:r>
      <w:r w:rsidRPr="002D27F0">
        <w:rPr>
          <w:rFonts w:ascii="Century Schoolbook" w:hAnsi="Century Schoolbook"/>
          <w:sz w:val="22"/>
          <w:szCs w:val="22"/>
        </w:rPr>
        <w:t>Cela peut se faire par l’intermédiaire d’un questionnement oral ou écrit (papier ou informatisé) portant sur les pré-requis issus des années ou des séquences antérieures. Ce questionnement doit permettre à l’élève de s’auto-évaluer.</w:t>
      </w:r>
    </w:p>
    <w:p w:rsidR="00AD1007" w:rsidRPr="002D27F0" w:rsidRDefault="00AD1007" w:rsidP="00387F48">
      <w:pPr>
        <w:jc w:val="both"/>
        <w:rPr>
          <w:rFonts w:ascii="Century Schoolbook" w:hAnsi="Century Schoolbook"/>
          <w:sz w:val="22"/>
          <w:szCs w:val="22"/>
        </w:rPr>
      </w:pPr>
    </w:p>
    <w:p w:rsidR="002F1E30" w:rsidRPr="002D27F0" w:rsidRDefault="002F1E30" w:rsidP="00387F48">
      <w:pPr>
        <w:jc w:val="both"/>
        <w:rPr>
          <w:rFonts w:ascii="Century Schoolbook" w:hAnsi="Century Schoolbook"/>
          <w:sz w:val="22"/>
          <w:szCs w:val="22"/>
        </w:rPr>
      </w:pPr>
      <w:r w:rsidRPr="002D27F0">
        <w:rPr>
          <w:rFonts w:ascii="Century Schoolbook" w:hAnsi="Century Schoolbook"/>
          <w:sz w:val="22"/>
          <w:szCs w:val="22"/>
        </w:rPr>
        <w:t>La séquence pédagogique elle-même relève de la créativité de l’enseignant et de sa liberté pédagogique à utiliser toute une panoplie d’outils matériels et organisationnels.</w:t>
      </w:r>
    </w:p>
    <w:p w:rsidR="00AD1007" w:rsidRPr="002D27F0" w:rsidRDefault="00AD1007" w:rsidP="00387F48">
      <w:pPr>
        <w:jc w:val="both"/>
        <w:rPr>
          <w:rFonts w:ascii="Century Schoolbook" w:hAnsi="Century Schoolbook"/>
          <w:sz w:val="22"/>
          <w:szCs w:val="22"/>
        </w:rPr>
      </w:pPr>
    </w:p>
    <w:p w:rsidR="002F1E30" w:rsidRPr="002D27F0" w:rsidRDefault="002F1E30" w:rsidP="00387F48">
      <w:pPr>
        <w:jc w:val="both"/>
        <w:rPr>
          <w:rFonts w:ascii="Century Schoolbook" w:hAnsi="Century Schoolbook"/>
          <w:sz w:val="22"/>
          <w:szCs w:val="22"/>
        </w:rPr>
      </w:pPr>
      <w:r w:rsidRPr="002D27F0">
        <w:rPr>
          <w:rFonts w:ascii="Century Schoolbook" w:hAnsi="Century Schoolbook"/>
          <w:sz w:val="22"/>
          <w:szCs w:val="22"/>
        </w:rPr>
        <w:t xml:space="preserve">Pendant le déroulement de la séquence, en particulier si l’enseignant choisit le travail de groupe, il peut aider chaque élève à se familiariser avec </w:t>
      </w:r>
      <w:r w:rsidRPr="002D27F0">
        <w:rPr>
          <w:rFonts w:ascii="Century Schoolbook" w:hAnsi="Century Schoolbook"/>
          <w:b/>
          <w:sz w:val="22"/>
          <w:szCs w:val="22"/>
        </w:rPr>
        <w:t>l’analyse réflexive</w:t>
      </w:r>
      <w:r w:rsidRPr="002D27F0">
        <w:rPr>
          <w:rFonts w:ascii="Century Schoolbook" w:hAnsi="Century Schoolbook"/>
          <w:sz w:val="22"/>
          <w:szCs w:val="22"/>
        </w:rPr>
        <w:t xml:space="preserve"> de ses pratiques, en le questionnant sur la manière dont il a traité tel ou tel point, ou en confrontant les manières de procéder de chacun des membres du groupe.</w:t>
      </w:r>
    </w:p>
    <w:p w:rsidR="00AD1007" w:rsidRPr="002D27F0" w:rsidRDefault="00AD1007" w:rsidP="00387F48">
      <w:pPr>
        <w:jc w:val="both"/>
        <w:rPr>
          <w:rFonts w:ascii="Century Schoolbook" w:hAnsi="Century Schoolbook"/>
          <w:sz w:val="22"/>
          <w:szCs w:val="22"/>
        </w:rPr>
      </w:pPr>
    </w:p>
    <w:p w:rsidR="002F1E30" w:rsidRPr="002D27F0" w:rsidRDefault="002F1E30" w:rsidP="00387F48">
      <w:pPr>
        <w:jc w:val="both"/>
        <w:rPr>
          <w:rFonts w:ascii="Century Schoolbook" w:hAnsi="Century Schoolbook"/>
          <w:sz w:val="22"/>
          <w:szCs w:val="22"/>
        </w:rPr>
      </w:pPr>
      <w:r w:rsidRPr="002D27F0">
        <w:rPr>
          <w:rFonts w:ascii="Century Schoolbook" w:hAnsi="Century Schoolbook"/>
          <w:sz w:val="22"/>
          <w:szCs w:val="22"/>
        </w:rPr>
        <w:t xml:space="preserve">A l’issue de la séquence pédagogique, il est important que l’élève puisse </w:t>
      </w:r>
      <w:r w:rsidR="00AD1007" w:rsidRPr="002D27F0">
        <w:rPr>
          <w:rFonts w:ascii="Century Schoolbook" w:hAnsi="Century Schoolbook"/>
          <w:sz w:val="22"/>
          <w:szCs w:val="22"/>
        </w:rPr>
        <w:t>évaluer</w:t>
      </w:r>
      <w:r w:rsidRPr="002D27F0">
        <w:rPr>
          <w:rFonts w:ascii="Century Schoolbook" w:hAnsi="Century Schoolbook"/>
          <w:sz w:val="22"/>
          <w:szCs w:val="22"/>
        </w:rPr>
        <w:t xml:space="preserve"> </w:t>
      </w:r>
      <w:r w:rsidR="00AD1007" w:rsidRPr="002D27F0">
        <w:rPr>
          <w:rFonts w:ascii="Century Schoolbook" w:hAnsi="Century Schoolbook"/>
          <w:sz w:val="22"/>
          <w:szCs w:val="22"/>
        </w:rPr>
        <w:t xml:space="preserve">quelles connaissances nouvelles il a acquis </w:t>
      </w:r>
      <w:r w:rsidRPr="002D27F0">
        <w:rPr>
          <w:rFonts w:ascii="Century Schoolbook" w:hAnsi="Century Schoolbook"/>
          <w:sz w:val="22"/>
          <w:szCs w:val="22"/>
        </w:rPr>
        <w:t xml:space="preserve">et </w:t>
      </w:r>
      <w:r w:rsidR="00AD1007" w:rsidRPr="002D27F0">
        <w:rPr>
          <w:rFonts w:ascii="Century Schoolbook" w:hAnsi="Century Schoolbook"/>
          <w:sz w:val="22"/>
          <w:szCs w:val="22"/>
        </w:rPr>
        <w:t>réaliser comment</w:t>
      </w:r>
      <w:r w:rsidRPr="002D27F0">
        <w:rPr>
          <w:rFonts w:ascii="Century Schoolbook" w:hAnsi="Century Schoolbook"/>
          <w:sz w:val="22"/>
          <w:szCs w:val="22"/>
        </w:rPr>
        <w:t xml:space="preserve"> ses représentations initiales se sont modifiées et enrichies. A cet effet, l’enseignant devra mettre en place les modalités nécessaires et proposer des </w:t>
      </w:r>
      <w:proofErr w:type="spellStart"/>
      <w:r w:rsidRPr="002D27F0">
        <w:rPr>
          <w:rFonts w:ascii="Century Schoolbook" w:hAnsi="Century Schoolbook"/>
          <w:sz w:val="22"/>
          <w:szCs w:val="22"/>
        </w:rPr>
        <w:t>remédiations</w:t>
      </w:r>
      <w:proofErr w:type="spellEnd"/>
      <w:r w:rsidRPr="002D27F0">
        <w:rPr>
          <w:rFonts w:ascii="Century Schoolbook" w:hAnsi="Century Schoolbook"/>
          <w:sz w:val="22"/>
          <w:szCs w:val="22"/>
        </w:rPr>
        <w:t xml:space="preserve"> adaptées.</w:t>
      </w:r>
    </w:p>
    <w:sectPr w:rsidR="002F1E30" w:rsidRPr="002D27F0" w:rsidSect="000F41B3">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B2C" w:rsidRDefault="00FA3B2C" w:rsidP="007144A8">
      <w:r>
        <w:separator/>
      </w:r>
    </w:p>
  </w:endnote>
  <w:endnote w:type="continuationSeparator" w:id="0">
    <w:p w:rsidR="00FA3B2C" w:rsidRDefault="00FA3B2C" w:rsidP="00714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4784"/>
      <w:docPartObj>
        <w:docPartGallery w:val="Page Numbers (Bottom of Page)"/>
        <w:docPartUnique/>
      </w:docPartObj>
    </w:sdtPr>
    <w:sdtContent>
      <w:p w:rsidR="00E519C5" w:rsidRDefault="00763874">
        <w:pPr>
          <w:pStyle w:val="Pieddepage"/>
          <w:jc w:val="center"/>
        </w:pPr>
        <w:r w:rsidRPr="00442A95">
          <w:rPr>
            <w:rFonts w:ascii="Century Schoolbook" w:hAnsi="Century Schoolbook"/>
            <w:sz w:val="18"/>
            <w:szCs w:val="18"/>
          </w:rPr>
          <w:fldChar w:fldCharType="begin"/>
        </w:r>
        <w:r w:rsidR="00E519C5" w:rsidRPr="00442A95">
          <w:rPr>
            <w:rFonts w:ascii="Century Schoolbook" w:hAnsi="Century Schoolbook"/>
            <w:sz w:val="18"/>
            <w:szCs w:val="18"/>
          </w:rPr>
          <w:instrText xml:space="preserve"> PAGE   \* MERGEFORMAT </w:instrText>
        </w:r>
        <w:r w:rsidRPr="00442A95">
          <w:rPr>
            <w:rFonts w:ascii="Century Schoolbook" w:hAnsi="Century Schoolbook"/>
            <w:sz w:val="18"/>
            <w:szCs w:val="18"/>
          </w:rPr>
          <w:fldChar w:fldCharType="separate"/>
        </w:r>
        <w:r w:rsidR="00B52717">
          <w:rPr>
            <w:rFonts w:ascii="Century Schoolbook" w:hAnsi="Century Schoolbook"/>
            <w:noProof/>
            <w:sz w:val="18"/>
            <w:szCs w:val="18"/>
          </w:rPr>
          <w:t>2</w:t>
        </w:r>
        <w:r w:rsidRPr="00442A95">
          <w:rPr>
            <w:rFonts w:ascii="Century Schoolbook" w:hAnsi="Century Schoolbook"/>
            <w:sz w:val="18"/>
            <w:szCs w:val="18"/>
          </w:rPr>
          <w:fldChar w:fldCharType="end"/>
        </w:r>
      </w:p>
    </w:sdtContent>
  </w:sdt>
  <w:p w:rsidR="007144A8" w:rsidRDefault="007144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B2C" w:rsidRDefault="00FA3B2C" w:rsidP="007144A8">
      <w:r>
        <w:separator/>
      </w:r>
    </w:p>
  </w:footnote>
  <w:footnote w:type="continuationSeparator" w:id="0">
    <w:p w:rsidR="00FA3B2C" w:rsidRDefault="00FA3B2C" w:rsidP="00714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7120"/>
    <w:multiLevelType w:val="hybridMultilevel"/>
    <w:tmpl w:val="C902F9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B43B7D"/>
    <w:multiLevelType w:val="hybridMultilevel"/>
    <w:tmpl w:val="41CA5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733800"/>
    <w:multiLevelType w:val="hybridMultilevel"/>
    <w:tmpl w:val="88FEE8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52692"/>
    <w:rsid w:val="0007491F"/>
    <w:rsid w:val="000D13AB"/>
    <w:rsid w:val="000F41B3"/>
    <w:rsid w:val="0020001B"/>
    <w:rsid w:val="002954E4"/>
    <w:rsid w:val="002D27F0"/>
    <w:rsid w:val="002F1E30"/>
    <w:rsid w:val="00307175"/>
    <w:rsid w:val="00387F48"/>
    <w:rsid w:val="00442A95"/>
    <w:rsid w:val="00533CB8"/>
    <w:rsid w:val="00641562"/>
    <w:rsid w:val="006541DB"/>
    <w:rsid w:val="006F098B"/>
    <w:rsid w:val="006F1C83"/>
    <w:rsid w:val="007144A8"/>
    <w:rsid w:val="00763874"/>
    <w:rsid w:val="00783034"/>
    <w:rsid w:val="008733C7"/>
    <w:rsid w:val="009125F3"/>
    <w:rsid w:val="00AD1007"/>
    <w:rsid w:val="00AE0CB3"/>
    <w:rsid w:val="00B52717"/>
    <w:rsid w:val="00B92FB0"/>
    <w:rsid w:val="00BF2E96"/>
    <w:rsid w:val="00D0012B"/>
    <w:rsid w:val="00D52692"/>
    <w:rsid w:val="00E519C5"/>
    <w:rsid w:val="00E7361E"/>
    <w:rsid w:val="00E85E4D"/>
    <w:rsid w:val="00EB129B"/>
    <w:rsid w:val="00ED696D"/>
    <w:rsid w:val="00EF7BC1"/>
    <w:rsid w:val="00FA3B2C"/>
    <w:rsid w:val="00FB25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9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qFormat/>
    <w:rsid w:val="00D52692"/>
    <w:pPr>
      <w:spacing w:before="100" w:beforeAutospacing="1" w:after="100" w:afterAutospacing="1"/>
      <w:outlineLvl w:val="0"/>
    </w:pPr>
    <w:rPr>
      <w:b/>
      <w:bCs/>
      <w:kern w:val="36"/>
      <w:sz w:val="48"/>
      <w:szCs w:val="48"/>
    </w:rPr>
  </w:style>
  <w:style w:type="paragraph" w:styleId="Titre2">
    <w:name w:val="heading 2"/>
    <w:basedOn w:val="Normal"/>
    <w:link w:val="Titre2Car"/>
    <w:qFormat/>
    <w:rsid w:val="00D5269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269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rsid w:val="00D52692"/>
    <w:rPr>
      <w:rFonts w:ascii="Times New Roman" w:eastAsia="Times New Roman" w:hAnsi="Times New Roman" w:cs="Times New Roman"/>
      <w:b/>
      <w:bCs/>
      <w:sz w:val="36"/>
      <w:szCs w:val="36"/>
      <w:lang w:eastAsia="fr-FR"/>
    </w:rPr>
  </w:style>
  <w:style w:type="paragraph" w:customStyle="1" w:styleId="entetegras">
    <w:name w:val="entete gras"/>
    <w:basedOn w:val="Normal"/>
    <w:rsid w:val="00D52692"/>
    <w:pPr>
      <w:spacing w:before="100" w:beforeAutospacing="1" w:after="100" w:afterAutospacing="1"/>
    </w:pPr>
  </w:style>
  <w:style w:type="paragraph" w:styleId="NormalWeb">
    <w:name w:val="Normal (Web)"/>
    <w:basedOn w:val="Normal"/>
    <w:semiHidden/>
    <w:rsid w:val="00D52692"/>
    <w:pPr>
      <w:spacing w:before="100" w:beforeAutospacing="1" w:after="100" w:afterAutospacing="1"/>
    </w:pPr>
  </w:style>
  <w:style w:type="character" w:styleId="Lienhypertexte">
    <w:name w:val="Hyperlink"/>
    <w:basedOn w:val="Policepardfaut"/>
    <w:uiPriority w:val="99"/>
    <w:unhideWhenUsed/>
    <w:rsid w:val="00D52692"/>
    <w:rPr>
      <w:color w:val="0000FF" w:themeColor="hyperlink"/>
      <w:u w:val="single"/>
    </w:rPr>
  </w:style>
  <w:style w:type="paragraph" w:styleId="Sansinterligne">
    <w:name w:val="No Spacing"/>
    <w:uiPriority w:val="1"/>
    <w:qFormat/>
    <w:rsid w:val="00D52692"/>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733C7"/>
    <w:pPr>
      <w:ind w:left="720"/>
      <w:contextualSpacing/>
    </w:pPr>
  </w:style>
  <w:style w:type="paragraph" w:styleId="En-tte">
    <w:name w:val="header"/>
    <w:basedOn w:val="Normal"/>
    <w:link w:val="En-tteCar"/>
    <w:uiPriority w:val="99"/>
    <w:semiHidden/>
    <w:unhideWhenUsed/>
    <w:rsid w:val="007144A8"/>
    <w:pPr>
      <w:tabs>
        <w:tab w:val="center" w:pos="4536"/>
        <w:tab w:val="right" w:pos="9072"/>
      </w:tabs>
    </w:pPr>
  </w:style>
  <w:style w:type="character" w:customStyle="1" w:styleId="En-tteCar">
    <w:name w:val="En-tête Car"/>
    <w:basedOn w:val="Policepardfaut"/>
    <w:link w:val="En-tte"/>
    <w:uiPriority w:val="99"/>
    <w:semiHidden/>
    <w:rsid w:val="007144A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144A8"/>
    <w:pPr>
      <w:tabs>
        <w:tab w:val="center" w:pos="4536"/>
        <w:tab w:val="right" w:pos="9072"/>
      </w:tabs>
    </w:pPr>
  </w:style>
  <w:style w:type="character" w:customStyle="1" w:styleId="PieddepageCar">
    <w:name w:val="Pied de page Car"/>
    <w:basedOn w:val="Policepardfaut"/>
    <w:link w:val="Pieddepage"/>
    <w:uiPriority w:val="99"/>
    <w:rsid w:val="007144A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144A8"/>
    <w:rPr>
      <w:rFonts w:ascii="Tahoma" w:hAnsi="Tahoma" w:cs="Tahoma"/>
      <w:sz w:val="16"/>
      <w:szCs w:val="16"/>
    </w:rPr>
  </w:style>
  <w:style w:type="character" w:customStyle="1" w:styleId="TextedebullesCar">
    <w:name w:val="Texte de bulles Car"/>
    <w:basedOn w:val="Policepardfaut"/>
    <w:link w:val="Textedebulles"/>
    <w:uiPriority w:val="99"/>
    <w:semiHidden/>
    <w:rsid w:val="007144A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shumaines.com/des-nouveaux-concepts-pour-enseigner_fr_111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972</Words>
  <Characters>5346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eflori</cp:lastModifiedBy>
  <cp:revision>13</cp:revision>
  <dcterms:created xsi:type="dcterms:W3CDTF">2013-04-14T08:52:00Z</dcterms:created>
  <dcterms:modified xsi:type="dcterms:W3CDTF">2013-06-10T07:36:00Z</dcterms:modified>
</cp:coreProperties>
</file>